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5C8C83" w14:textId="0A1895D9" w:rsidR="00D96B92" w:rsidRPr="001E0A28" w:rsidRDefault="00D96B92" w:rsidP="00D96B92">
      <w:pPr>
        <w:spacing w:after="120"/>
        <w:ind w:left="1985" w:hanging="1985"/>
        <w:rPr>
          <w:rFonts w:ascii="Arial" w:eastAsiaTheme="minorEastAsia" w:hAnsi="Arial" w:cs="Arial"/>
          <w:b/>
          <w:sz w:val="24"/>
          <w:szCs w:val="24"/>
        </w:rPr>
      </w:pPr>
      <w:r w:rsidRPr="001E0A28">
        <w:rPr>
          <w:rFonts w:ascii="Arial" w:eastAsiaTheme="minorEastAsia" w:hAnsi="Arial" w:cs="Arial"/>
          <w:b/>
          <w:sz w:val="24"/>
          <w:szCs w:val="24"/>
        </w:rPr>
        <w:t>3GPP TSG-RAN WG4 Meeting #</w:t>
      </w:r>
      <w:r>
        <w:rPr>
          <w:rFonts w:ascii="Arial" w:eastAsiaTheme="minorEastAsia" w:hAnsi="Arial" w:cs="Arial"/>
          <w:b/>
          <w:sz w:val="24"/>
          <w:szCs w:val="24"/>
        </w:rPr>
        <w:t>1</w:t>
      </w:r>
      <w:r w:rsidR="00522AFD">
        <w:rPr>
          <w:rFonts w:ascii="Arial" w:eastAsiaTheme="minorEastAsia" w:hAnsi="Arial" w:cs="Arial"/>
          <w:b/>
          <w:sz w:val="24"/>
          <w:szCs w:val="24"/>
        </w:rPr>
        <w:t>10</w:t>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sidRPr="001E0A28">
        <w:rPr>
          <w:rFonts w:ascii="Arial" w:eastAsiaTheme="minorEastAsia" w:hAnsi="Arial" w:cs="Arial"/>
          <w:b/>
          <w:sz w:val="24"/>
          <w:szCs w:val="24"/>
        </w:rPr>
        <w:t>R4-2</w:t>
      </w:r>
      <w:r w:rsidR="00522AFD">
        <w:rPr>
          <w:rFonts w:ascii="Arial" w:eastAsiaTheme="minorEastAsia" w:hAnsi="Arial" w:cs="Arial"/>
          <w:b/>
          <w:sz w:val="24"/>
          <w:szCs w:val="24"/>
        </w:rPr>
        <w:t>40</w:t>
      </w:r>
      <w:r w:rsidR="005913EB">
        <w:rPr>
          <w:rFonts w:ascii="Arial" w:eastAsiaTheme="minorEastAsia" w:hAnsi="Arial" w:cs="Arial"/>
          <w:b/>
          <w:sz w:val="24"/>
          <w:szCs w:val="24"/>
        </w:rPr>
        <w:t>2320</w:t>
      </w:r>
    </w:p>
    <w:p w14:paraId="468E7224" w14:textId="16342CC7" w:rsidR="00C64C50" w:rsidRPr="00D96B92" w:rsidRDefault="00522AFD" w:rsidP="00D96B92">
      <w:pPr>
        <w:spacing w:after="120"/>
        <w:ind w:left="1985" w:hanging="1985"/>
        <w:rPr>
          <w:rFonts w:ascii="Arial" w:eastAsiaTheme="minorEastAsia" w:hAnsi="Arial" w:cs="Arial"/>
          <w:b/>
          <w:sz w:val="24"/>
          <w:szCs w:val="24"/>
        </w:rPr>
      </w:pPr>
      <w:r>
        <w:rPr>
          <w:rFonts w:ascii="Arial" w:eastAsiaTheme="minorEastAsia" w:hAnsi="Arial" w:cs="Arial"/>
          <w:b/>
          <w:bCs/>
          <w:sz w:val="24"/>
          <w:szCs w:val="24"/>
        </w:rPr>
        <w:t>Athens</w:t>
      </w:r>
      <w:r w:rsidR="00D96B92" w:rsidRPr="008A51C9">
        <w:rPr>
          <w:rFonts w:ascii="Arial" w:eastAsiaTheme="minorEastAsia" w:hAnsi="Arial" w:cs="Arial"/>
          <w:b/>
          <w:bCs/>
          <w:sz w:val="24"/>
          <w:szCs w:val="24"/>
        </w:rPr>
        <w:t>,</w:t>
      </w:r>
      <w:r w:rsidR="00D96B92">
        <w:rPr>
          <w:rFonts w:ascii="Arial" w:eastAsiaTheme="minorEastAsia" w:hAnsi="Arial" w:cs="Arial"/>
          <w:b/>
          <w:bCs/>
          <w:sz w:val="24"/>
          <w:szCs w:val="24"/>
        </w:rPr>
        <w:t xml:space="preserve"> </w:t>
      </w:r>
      <w:r>
        <w:rPr>
          <w:rFonts w:ascii="Arial" w:eastAsiaTheme="minorEastAsia" w:hAnsi="Arial" w:cs="Arial"/>
          <w:b/>
          <w:bCs/>
          <w:sz w:val="24"/>
          <w:szCs w:val="24"/>
        </w:rPr>
        <w:t>Greece</w:t>
      </w:r>
      <w:r w:rsidR="00D96B92">
        <w:rPr>
          <w:rFonts w:ascii="Arial" w:eastAsiaTheme="minorEastAsia" w:hAnsi="Arial" w:cs="Arial"/>
          <w:b/>
          <w:bCs/>
          <w:sz w:val="24"/>
          <w:szCs w:val="24"/>
        </w:rPr>
        <w:t>,</w:t>
      </w:r>
      <w:r w:rsidR="00D96B92" w:rsidRPr="008A51C9">
        <w:rPr>
          <w:rFonts w:ascii="Arial" w:eastAsiaTheme="minorEastAsia" w:hAnsi="Arial" w:cs="Arial"/>
          <w:b/>
          <w:bCs/>
          <w:sz w:val="24"/>
          <w:szCs w:val="24"/>
        </w:rPr>
        <w:t xml:space="preserve"> </w:t>
      </w:r>
      <w:r w:rsidR="00175CEB">
        <w:rPr>
          <w:rFonts w:ascii="Arial" w:eastAsiaTheme="minorEastAsia" w:hAnsi="Arial" w:cs="Arial"/>
          <w:b/>
          <w:bCs/>
          <w:sz w:val="24"/>
          <w:szCs w:val="24"/>
        </w:rPr>
        <w:t xml:space="preserve">26 February – 1 </w:t>
      </w:r>
      <w:proofErr w:type="gramStart"/>
      <w:r w:rsidR="00175CEB">
        <w:rPr>
          <w:rFonts w:ascii="Arial" w:eastAsiaTheme="minorEastAsia" w:hAnsi="Arial" w:cs="Arial"/>
          <w:b/>
          <w:bCs/>
          <w:sz w:val="24"/>
          <w:szCs w:val="24"/>
        </w:rPr>
        <w:t>March,</w:t>
      </w:r>
      <w:proofErr w:type="gramEnd"/>
      <w:r w:rsidR="00175CEB">
        <w:rPr>
          <w:rFonts w:ascii="Arial" w:eastAsiaTheme="minorEastAsia" w:hAnsi="Arial" w:cs="Arial"/>
          <w:b/>
          <w:bCs/>
          <w:sz w:val="24"/>
          <w:szCs w:val="24"/>
        </w:rPr>
        <w:t xml:space="preserve"> 2024</w:t>
      </w:r>
    </w:p>
    <w:p w14:paraId="074B8E27" w14:textId="39E7C06E" w:rsidR="009F1E1B" w:rsidRDefault="009F1E1B">
      <w:pPr>
        <w:spacing w:after="120"/>
        <w:ind w:left="1985" w:hanging="1985"/>
        <w:rPr>
          <w:rFonts w:ascii="Arial" w:eastAsiaTheme="minorEastAsia" w:hAnsi="Arial" w:cs="Arial"/>
          <w:b/>
          <w:sz w:val="24"/>
          <w:szCs w:val="24"/>
        </w:rPr>
      </w:pPr>
    </w:p>
    <w:p w14:paraId="74489A59" w14:textId="7798C08A" w:rsidR="00343B9F" w:rsidRPr="00EA2FBC" w:rsidRDefault="00343B9F" w:rsidP="00343B9F">
      <w:r w:rsidRPr="00EA2FBC">
        <w:rPr>
          <w:b/>
        </w:rPr>
        <w:t>Source:</w:t>
      </w:r>
      <w:r w:rsidRPr="00EA2FBC">
        <w:rPr>
          <w:b/>
        </w:rPr>
        <w:tab/>
      </w:r>
      <w:r w:rsidRPr="00EA2FBC">
        <w:rPr>
          <w:b/>
        </w:rPr>
        <w:tab/>
      </w:r>
      <w:r w:rsidRPr="00EA2FBC">
        <w:rPr>
          <w:b/>
        </w:rPr>
        <w:tab/>
      </w:r>
      <w:r w:rsidR="00EA2FBC">
        <w:rPr>
          <w:b/>
        </w:rPr>
        <w:tab/>
      </w:r>
      <w:r w:rsidRPr="00EA2FBC">
        <w:t>Ericsson</w:t>
      </w:r>
    </w:p>
    <w:p w14:paraId="20563AC0" w14:textId="753A27A7" w:rsidR="00343B9F" w:rsidRPr="00EA2FBC" w:rsidRDefault="00343B9F" w:rsidP="00343B9F">
      <w:r w:rsidRPr="00EA2FBC">
        <w:rPr>
          <w:b/>
        </w:rPr>
        <w:t>Title:</w:t>
      </w:r>
      <w:r w:rsidRPr="00EA2FBC">
        <w:tab/>
      </w:r>
      <w:r w:rsidRPr="00EA2FBC">
        <w:tab/>
      </w:r>
      <w:r w:rsidRPr="00EA2FBC">
        <w:tab/>
      </w:r>
      <w:r w:rsidR="00EA2FBC">
        <w:tab/>
      </w:r>
      <w:r w:rsidR="00EA2FBC">
        <w:tab/>
      </w:r>
      <w:r w:rsidR="00175CEB">
        <w:t>RAN task – band n101</w:t>
      </w:r>
    </w:p>
    <w:p w14:paraId="27189950" w14:textId="509BFA81" w:rsidR="00343B9F" w:rsidRPr="00EA2FBC" w:rsidRDefault="00343B9F" w:rsidP="00343B9F">
      <w:r w:rsidRPr="00EA2FBC">
        <w:rPr>
          <w:b/>
        </w:rPr>
        <w:t>Agenda item:</w:t>
      </w:r>
      <w:r w:rsidRPr="00EA2FBC">
        <w:tab/>
      </w:r>
      <w:r w:rsidRPr="00EA2FBC">
        <w:tab/>
      </w:r>
      <w:r w:rsidR="00FA1D60">
        <w:t>13.2</w:t>
      </w:r>
    </w:p>
    <w:p w14:paraId="75BE696D" w14:textId="77777777" w:rsidR="00343B9F" w:rsidRPr="00EA2FBC" w:rsidRDefault="00343B9F" w:rsidP="00343B9F">
      <w:r w:rsidRPr="00EA2FBC">
        <w:rPr>
          <w:b/>
        </w:rPr>
        <w:t>Document for:</w:t>
      </w:r>
      <w:r w:rsidRPr="00EA2FBC">
        <w:rPr>
          <w:b/>
        </w:rPr>
        <w:tab/>
      </w:r>
      <w:r w:rsidRPr="00EA2FBC">
        <w:rPr>
          <w:b/>
        </w:rPr>
        <w:tab/>
      </w:r>
      <w:r w:rsidRPr="00EA2FBC">
        <w:t>Approval</w:t>
      </w:r>
    </w:p>
    <w:p w14:paraId="074B8E2D" w14:textId="77777777" w:rsidR="009F1E1B" w:rsidRDefault="001B4DC7">
      <w:pPr>
        <w:pStyle w:val="Heading1"/>
        <w:numPr>
          <w:ilvl w:val="0"/>
          <w:numId w:val="4"/>
        </w:numPr>
        <w:ind w:left="400" w:hanging="400"/>
      </w:pPr>
      <w:r>
        <w:rPr>
          <w:sz w:val="32"/>
          <w:lang w:val="en-GB"/>
        </w:rPr>
        <w:t>Introduction</w:t>
      </w:r>
    </w:p>
    <w:p w14:paraId="21AEB811" w14:textId="7A7B9CD9" w:rsidR="005531CB" w:rsidRDefault="009B4325">
      <w:pPr>
        <w:spacing w:beforeLines="50" w:before="120" w:after="120"/>
      </w:pPr>
      <w:r>
        <w:t>In last RAN#</w:t>
      </w:r>
      <w:r w:rsidR="00516E8F">
        <w:t xml:space="preserve">101 meeting, RAN tasked RAN4 </w:t>
      </w:r>
      <w:r w:rsidR="00581B7F" w:rsidRPr="00581B7F">
        <w:rPr>
          <w:rFonts w:hint="eastAsia"/>
        </w:rPr>
        <w:t>to investigate what possibilities exist in the RAN4 specifications for n101 to avoid causing interference on already established networks</w:t>
      </w:r>
      <w:r w:rsidR="00581B7F">
        <w:t xml:space="preserve">, taking CEPT regulations into account. </w:t>
      </w:r>
    </w:p>
    <w:p w14:paraId="0EBCCA5E" w14:textId="387ACB81" w:rsidR="00581B7F" w:rsidRDefault="00581B7F">
      <w:pPr>
        <w:spacing w:beforeLines="50" w:before="120" w:after="120"/>
      </w:pPr>
      <w:r>
        <w:t xml:space="preserve">This contribution is </w:t>
      </w:r>
      <w:r w:rsidR="00283630">
        <w:t xml:space="preserve">discussing those aspects, based on ECC Reports </w:t>
      </w:r>
      <w:r w:rsidR="00864BF2">
        <w:t>313, 314</w:t>
      </w:r>
      <w:r w:rsidR="00620173">
        <w:t xml:space="preserve"> and</w:t>
      </w:r>
      <w:r w:rsidR="00864BF2">
        <w:t xml:space="preserve"> 318</w:t>
      </w:r>
      <w:r w:rsidR="009A27F3">
        <w:t xml:space="preserve"> </w:t>
      </w:r>
      <w:r w:rsidR="00620173">
        <w:t xml:space="preserve">, CEPT Reports 74 and 76, </w:t>
      </w:r>
      <w:r w:rsidR="00283630">
        <w:t>and ECC Decision(20)02.</w:t>
      </w:r>
    </w:p>
    <w:p w14:paraId="074B8E30" w14:textId="77777777" w:rsidR="009F1E1B" w:rsidRDefault="001B4DC7">
      <w:pPr>
        <w:pStyle w:val="Heading1"/>
        <w:numPr>
          <w:ilvl w:val="0"/>
          <w:numId w:val="4"/>
        </w:numPr>
        <w:ind w:left="400" w:hanging="400"/>
        <w:rPr>
          <w:lang w:eastAsia="zh-CN"/>
        </w:rPr>
      </w:pPr>
      <w:r>
        <w:rPr>
          <w:rFonts w:hint="eastAsia"/>
          <w:sz w:val="32"/>
          <w:lang w:val="en-GB"/>
        </w:rPr>
        <w:t>Discussion</w:t>
      </w:r>
    </w:p>
    <w:p w14:paraId="42506733" w14:textId="11690D39" w:rsidR="00822658" w:rsidRDefault="00103040" w:rsidP="00B1195A">
      <w:pPr>
        <w:pStyle w:val="Heading2"/>
      </w:pPr>
      <w:r>
        <w:t xml:space="preserve">Regulatory </w:t>
      </w:r>
      <w:r w:rsidR="00B1195A">
        <w:t>Background</w:t>
      </w:r>
    </w:p>
    <w:p w14:paraId="5C09E15D" w14:textId="2ED5225E" w:rsidR="002A245D" w:rsidRDefault="002A245D" w:rsidP="002A245D">
      <w:pPr>
        <w:pStyle w:val="Heading3"/>
      </w:pPr>
      <w:r>
        <w:t>European Commission mandate</w:t>
      </w:r>
    </w:p>
    <w:p w14:paraId="6582A8E2" w14:textId="0D60A278" w:rsidR="00DB68CE" w:rsidRDefault="00DF4A7D" w:rsidP="00DF4A7D">
      <w:r>
        <w:rPr>
          <w:lang w:val="sv-SE"/>
        </w:rPr>
        <w:t xml:space="preserve">The European Commission </w:t>
      </w:r>
      <w:r w:rsidR="008807FD">
        <w:rPr>
          <w:lang w:val="sv-SE"/>
        </w:rPr>
        <w:t>release</w:t>
      </w:r>
      <w:r w:rsidR="00203312">
        <w:rPr>
          <w:lang w:val="sv-SE"/>
        </w:rPr>
        <w:t>d</w:t>
      </w:r>
      <w:r w:rsidR="008807FD">
        <w:rPr>
          <w:lang w:val="sv-SE"/>
        </w:rPr>
        <w:t xml:space="preserve"> a mandate </w:t>
      </w:r>
      <w:r w:rsidR="00F4635E">
        <w:t xml:space="preserve">to identify appropriate spectrum bands, study feasibility and develop harmonised technical conditions for a sustainable and efficient use of such bands for the operation of the future railway mobile communications system, which is the successor of GSM-R. </w:t>
      </w:r>
    </w:p>
    <w:p w14:paraId="34EF2994" w14:textId="07326D59" w:rsidR="00DB68CE" w:rsidRDefault="00572D8F" w:rsidP="00DF4A7D">
      <w:r>
        <w:t>With</w:t>
      </w:r>
      <w:r w:rsidR="00DB68CE">
        <w:t xml:space="preserve"> this </w:t>
      </w:r>
      <w:r w:rsidR="00313257">
        <w:t>document</w:t>
      </w:r>
      <w:r w:rsidR="00DB68CE">
        <w:t xml:space="preserve">, the European Commission </w:t>
      </w:r>
      <w:r w:rsidR="00313A3B">
        <w:t>mandate</w:t>
      </w:r>
      <w:r w:rsidR="00F67D1E">
        <w:t>d</w:t>
      </w:r>
      <w:r w:rsidR="00313A3B">
        <w:t xml:space="preserve"> CEPT to </w:t>
      </w:r>
      <w:r w:rsidR="00F300C4">
        <w:t>conduct</w:t>
      </w:r>
      <w:r w:rsidR="00313A3B">
        <w:t xml:space="preserve"> </w:t>
      </w:r>
      <w:r w:rsidR="004E4B84">
        <w:t>the following tasks</w:t>
      </w:r>
      <w:r>
        <w:t xml:space="preserve"> (in short)</w:t>
      </w:r>
      <w:r w:rsidR="004E4B84">
        <w:t xml:space="preserve">: </w:t>
      </w:r>
    </w:p>
    <w:p w14:paraId="5F52C3E0" w14:textId="14E860A1" w:rsidR="004E4B84" w:rsidRPr="00DC37FA" w:rsidRDefault="004E4B84" w:rsidP="004E4B84">
      <w:pPr>
        <w:pStyle w:val="ListParagraph"/>
        <w:numPr>
          <w:ilvl w:val="0"/>
          <w:numId w:val="35"/>
        </w:numPr>
        <w:ind w:firstLineChars="0"/>
        <w:rPr>
          <w:rFonts w:eastAsia="SimSun"/>
        </w:rPr>
      </w:pPr>
      <w:r>
        <w:t>Task 1:</w:t>
      </w:r>
      <w:r w:rsidR="00EB4CB1" w:rsidRPr="00EB4CB1">
        <w:t xml:space="preserve"> </w:t>
      </w:r>
      <w:r w:rsidR="0096719E" w:rsidRPr="00DC37FA">
        <w:rPr>
          <w:rFonts w:eastAsia="SimSun"/>
        </w:rPr>
        <w:t xml:space="preserve">Assess the </w:t>
      </w:r>
      <w:r w:rsidR="00DC37FA" w:rsidRPr="00DC37FA">
        <w:rPr>
          <w:rFonts w:eastAsia="SimSun"/>
        </w:rPr>
        <w:t>s</w:t>
      </w:r>
      <w:r w:rsidR="00182892" w:rsidRPr="00DC37FA">
        <w:rPr>
          <w:rFonts w:eastAsia="SimSun"/>
        </w:rPr>
        <w:t>pectrum needs for mission critical operation of the future railway mobile communications system (successor system of GSM-R)</w:t>
      </w:r>
      <w:r w:rsidR="00DC37FA">
        <w:rPr>
          <w:rFonts w:eastAsia="SimSun"/>
        </w:rPr>
        <w:t>.</w:t>
      </w:r>
    </w:p>
    <w:p w14:paraId="58EE369C" w14:textId="27573036" w:rsidR="004E4B84" w:rsidRDefault="004E4B84" w:rsidP="004E4B84">
      <w:pPr>
        <w:pStyle w:val="ListParagraph"/>
        <w:numPr>
          <w:ilvl w:val="0"/>
          <w:numId w:val="35"/>
        </w:numPr>
        <w:ind w:firstLineChars="0"/>
      </w:pPr>
      <w:r>
        <w:t>Task 2:</w:t>
      </w:r>
      <w:r w:rsidR="00EB4CB1">
        <w:t xml:space="preserve"> </w:t>
      </w:r>
      <w:r w:rsidR="00DC37FA">
        <w:t xml:space="preserve">Assess </w:t>
      </w:r>
      <w:r w:rsidR="00DC37FA" w:rsidRPr="00DC37FA">
        <w:rPr>
          <w:rFonts w:eastAsia="SimSun"/>
        </w:rPr>
        <w:t xml:space="preserve">the </w:t>
      </w:r>
      <w:r w:rsidR="00395B35" w:rsidRPr="00DC37FA">
        <w:rPr>
          <w:rFonts w:eastAsia="SimSun"/>
        </w:rPr>
        <w:t>technical feasibility for operating the successor system in the 874.4-880 MHz / 919.4-925 MHz frequency band while ensuring simultaneous operation of GSM-R and the successor system in these bands during a migration period</w:t>
      </w:r>
      <w:r w:rsidR="00DC37FA">
        <w:rPr>
          <w:rFonts w:eastAsia="SimSun"/>
        </w:rPr>
        <w:t>.</w:t>
      </w:r>
    </w:p>
    <w:p w14:paraId="3E5F9415" w14:textId="4563F913" w:rsidR="004E4B84" w:rsidRPr="00DC37FA" w:rsidRDefault="004E4B84" w:rsidP="004E4B84">
      <w:pPr>
        <w:pStyle w:val="ListParagraph"/>
        <w:numPr>
          <w:ilvl w:val="0"/>
          <w:numId w:val="35"/>
        </w:numPr>
        <w:ind w:firstLineChars="0"/>
        <w:rPr>
          <w:rFonts w:eastAsia="SimSun"/>
        </w:rPr>
      </w:pPr>
      <w:r>
        <w:t>Task 3:</w:t>
      </w:r>
      <w:r w:rsidR="0087364D">
        <w:t xml:space="preserve"> </w:t>
      </w:r>
      <w:r w:rsidR="00DC37FA" w:rsidRPr="00DC37FA">
        <w:rPr>
          <w:rFonts w:eastAsia="SimSun"/>
        </w:rPr>
        <w:t xml:space="preserve">Assess the </w:t>
      </w:r>
      <w:r w:rsidR="00395B35" w:rsidRPr="00DC37FA">
        <w:rPr>
          <w:rFonts w:eastAsia="SimSun"/>
        </w:rPr>
        <w:t>technical feasibility for operating the successor system in part of the 1900-1920 MHz frequency band. If necessary, technical feasibility for operating the successor system in another frequency band</w:t>
      </w:r>
      <w:r w:rsidR="00DC37FA">
        <w:rPr>
          <w:rFonts w:eastAsia="SimSun"/>
        </w:rPr>
        <w:t>.</w:t>
      </w:r>
    </w:p>
    <w:p w14:paraId="331848B3" w14:textId="21729FAA" w:rsidR="008B24FB" w:rsidRDefault="004E4B84" w:rsidP="0088465D">
      <w:pPr>
        <w:pStyle w:val="ListParagraph"/>
        <w:numPr>
          <w:ilvl w:val="0"/>
          <w:numId w:val="35"/>
        </w:numPr>
        <w:ind w:firstLineChars="0"/>
      </w:pPr>
      <w:r>
        <w:t>Task 4:</w:t>
      </w:r>
      <w:r w:rsidR="0087364D" w:rsidRPr="0087364D">
        <w:t xml:space="preserve"> </w:t>
      </w:r>
      <w:r w:rsidR="0087364D">
        <w:t xml:space="preserve">Study and </w:t>
      </w:r>
      <w:r w:rsidR="0087364D" w:rsidRPr="00DC37FA">
        <w:rPr>
          <w:rFonts w:eastAsia="SimSun"/>
        </w:rPr>
        <w:t xml:space="preserve">assess </w:t>
      </w:r>
      <w:r w:rsidR="00572D8F" w:rsidRPr="00DC37FA">
        <w:rPr>
          <w:rFonts w:eastAsia="SimSun"/>
        </w:rPr>
        <w:t>the technical feasibility and scenarios of using commercial mobile networks</w:t>
      </w:r>
      <w:r w:rsidR="00DC37FA">
        <w:rPr>
          <w:rFonts w:eastAsia="SimSun"/>
        </w:rPr>
        <w:t>.</w:t>
      </w:r>
    </w:p>
    <w:p w14:paraId="43946835" w14:textId="0964CF83" w:rsidR="00AB5C9D" w:rsidRDefault="00AB5C9D" w:rsidP="0088465D">
      <w:pPr>
        <w:pStyle w:val="ListParagraph"/>
        <w:numPr>
          <w:ilvl w:val="0"/>
          <w:numId w:val="35"/>
        </w:numPr>
        <w:ind w:firstLineChars="0"/>
      </w:pPr>
      <w:r>
        <w:t>Task 5: Assess the best option for long term development of FRMCS and develop EU-harmonised technical conditions.</w:t>
      </w:r>
    </w:p>
    <w:p w14:paraId="3A229FB3" w14:textId="1870B6FE" w:rsidR="008B24FB" w:rsidRDefault="008B24FB" w:rsidP="008B24FB">
      <w:r>
        <w:t>To answer those tasks, CEPT publishe</w:t>
      </w:r>
      <w:r w:rsidR="00313257">
        <w:t>d</w:t>
      </w:r>
      <w:r>
        <w:t xml:space="preserve"> </w:t>
      </w:r>
      <w:r w:rsidR="00107FB5">
        <w:t>R</w:t>
      </w:r>
      <w:r w:rsidR="00457FA1">
        <w:t xml:space="preserve">eports </w:t>
      </w:r>
      <w:r w:rsidR="00107FB5">
        <w:t>74 and 76 (based on ECC Reports</w:t>
      </w:r>
      <w:r w:rsidR="0082357E">
        <w:t xml:space="preserve"> 313,</w:t>
      </w:r>
      <w:r w:rsidR="00107FB5">
        <w:t xml:space="preserve"> 314 and 318) </w:t>
      </w:r>
      <w:r w:rsidR="00457FA1">
        <w:t>and ECC Decision(20)02.</w:t>
      </w:r>
    </w:p>
    <w:p w14:paraId="77CCD016" w14:textId="7517404C" w:rsidR="00530B47" w:rsidRDefault="00530B47" w:rsidP="00530B47">
      <w:r>
        <w:t xml:space="preserve">In the scope of this </w:t>
      </w:r>
      <w:r w:rsidR="00200B73">
        <w:t xml:space="preserve">RAN4 </w:t>
      </w:r>
      <w:r>
        <w:t xml:space="preserve">contribution related to band n101, </w:t>
      </w:r>
      <w:r w:rsidR="00200B73">
        <w:t xml:space="preserve">the </w:t>
      </w:r>
      <w:r>
        <w:t>task 3 is the most relevant one</w:t>
      </w:r>
      <w:r w:rsidR="00200B73">
        <w:t>. This contribution</w:t>
      </w:r>
      <w:r>
        <w:t xml:space="preserve"> will then focus on this task  in the following discussion.</w:t>
      </w:r>
    </w:p>
    <w:p w14:paraId="7B5D5285" w14:textId="46D4FD56" w:rsidR="00F10AC3" w:rsidRPr="002A4FDE" w:rsidRDefault="00F10AC3" w:rsidP="00530B47">
      <w:pPr>
        <w:rPr>
          <w:b/>
          <w:bCs/>
        </w:rPr>
      </w:pPr>
      <w:r w:rsidRPr="002A4FDE">
        <w:rPr>
          <w:b/>
          <w:bCs/>
        </w:rPr>
        <w:lastRenderedPageBreak/>
        <w:t xml:space="preserve">Observation1: </w:t>
      </w:r>
      <w:r w:rsidR="00323FF7" w:rsidRPr="002A4FDE">
        <w:rPr>
          <w:b/>
          <w:bCs/>
        </w:rPr>
        <w:t xml:space="preserve">The European Commission </w:t>
      </w:r>
      <w:r w:rsidR="00203312" w:rsidRPr="002A4FDE">
        <w:rPr>
          <w:b/>
          <w:bCs/>
        </w:rPr>
        <w:t xml:space="preserve">mandated CEPT </w:t>
      </w:r>
      <w:r w:rsidR="009D2637" w:rsidRPr="002A4FDE">
        <w:rPr>
          <w:b/>
          <w:bCs/>
        </w:rPr>
        <w:t xml:space="preserve">to assess the 1900-1920 MHz frequency range </w:t>
      </w:r>
      <w:r w:rsidR="002A4FDE" w:rsidRPr="002A4FDE">
        <w:rPr>
          <w:b/>
          <w:bCs/>
        </w:rPr>
        <w:t>for the future railway mobile communication system.</w:t>
      </w:r>
    </w:p>
    <w:p w14:paraId="315A2B06" w14:textId="00B5E55A" w:rsidR="00CC0F14" w:rsidRDefault="00CC0F14" w:rsidP="008B24FB">
      <w:pPr>
        <w:pStyle w:val="Heading3"/>
      </w:pPr>
      <w:r>
        <w:t>ECC Report 313</w:t>
      </w:r>
      <w:r w:rsidR="00711EF2">
        <w:t xml:space="preserve"> (</w:t>
      </w:r>
      <w:r w:rsidR="00711EF2">
        <w:fldChar w:fldCharType="begin"/>
      </w:r>
      <w:r w:rsidR="00711EF2">
        <w:instrText xml:space="preserve"> REF _Ref157097479 \r \h </w:instrText>
      </w:r>
      <w:r w:rsidR="00711EF2">
        <w:fldChar w:fldCharType="separate"/>
      </w:r>
      <w:r w:rsidR="00E055EE">
        <w:t>[2]</w:t>
      </w:r>
      <w:r w:rsidR="00711EF2">
        <w:fldChar w:fldCharType="end"/>
      </w:r>
      <w:r w:rsidR="00711EF2">
        <w:t>)</w:t>
      </w:r>
    </w:p>
    <w:p w14:paraId="2829991B" w14:textId="3ECDB198" w:rsidR="005F2F44" w:rsidRDefault="005F2F44" w:rsidP="005F2F44">
      <w:pPr>
        <w:rPr>
          <w:lang w:val="sv-SE"/>
        </w:rPr>
      </w:pPr>
      <w:r>
        <w:rPr>
          <w:lang w:val="sv-SE"/>
        </w:rPr>
        <w:t xml:space="preserve">This report </w:t>
      </w:r>
      <w:r w:rsidR="00270883">
        <w:rPr>
          <w:lang w:val="sv-SE"/>
        </w:rPr>
        <w:t>studie</w:t>
      </w:r>
      <w:r w:rsidR="002A3700">
        <w:rPr>
          <w:lang w:val="sv-SE"/>
        </w:rPr>
        <w:t>s</w:t>
      </w:r>
      <w:r w:rsidR="00270883">
        <w:rPr>
          <w:lang w:val="sv-SE"/>
        </w:rPr>
        <w:t xml:space="preserve"> the compatability of FRMCS in the 900 MHz range with adjacent services</w:t>
      </w:r>
      <w:r>
        <w:rPr>
          <w:lang w:val="sv-SE"/>
        </w:rPr>
        <w:t>.</w:t>
      </w:r>
    </w:p>
    <w:p w14:paraId="384EF5AF" w14:textId="77D4CC7E" w:rsidR="00530B47" w:rsidRDefault="0056119B" w:rsidP="00CC0F14">
      <w:pPr>
        <w:rPr>
          <w:lang w:val="sv-SE"/>
        </w:rPr>
      </w:pPr>
      <w:r>
        <w:rPr>
          <w:lang w:val="sv-SE"/>
        </w:rPr>
        <w:t xml:space="preserve">It </w:t>
      </w:r>
      <w:r w:rsidR="000F22A8">
        <w:rPr>
          <w:lang w:val="sv-SE"/>
        </w:rPr>
        <w:t>addresse</w:t>
      </w:r>
      <w:r w:rsidR="002A3700">
        <w:rPr>
          <w:lang w:val="sv-SE"/>
        </w:rPr>
        <w:t>s</w:t>
      </w:r>
      <w:r w:rsidR="000F22A8">
        <w:rPr>
          <w:lang w:val="sv-SE"/>
        </w:rPr>
        <w:t xml:space="preserve"> the coexistence aspects of band n100</w:t>
      </w:r>
      <w:r w:rsidR="009B57E9">
        <w:rPr>
          <w:lang w:val="sv-SE"/>
        </w:rPr>
        <w:t>,</w:t>
      </w:r>
      <w:r w:rsidR="000F22A8">
        <w:rPr>
          <w:lang w:val="sv-SE"/>
        </w:rPr>
        <w:t xml:space="preserve"> </w:t>
      </w:r>
      <w:r w:rsidR="009B57E9">
        <w:rPr>
          <w:lang w:val="sv-SE"/>
        </w:rPr>
        <w:t xml:space="preserve">not band n101. </w:t>
      </w:r>
    </w:p>
    <w:p w14:paraId="491CE22A" w14:textId="1FA1C0F8" w:rsidR="00974A74" w:rsidRDefault="009B57E9" w:rsidP="00CC0F14">
      <w:pPr>
        <w:rPr>
          <w:lang w:val="sv-SE"/>
        </w:rPr>
      </w:pPr>
      <w:r>
        <w:rPr>
          <w:lang w:val="sv-SE"/>
        </w:rPr>
        <w:t xml:space="preserve">This report is </w:t>
      </w:r>
      <w:r w:rsidR="008F357C">
        <w:rPr>
          <w:lang w:val="sv-SE"/>
        </w:rPr>
        <w:t>not in the scope of</w:t>
      </w:r>
      <w:r w:rsidR="00FD04C4">
        <w:rPr>
          <w:lang w:val="sv-SE"/>
        </w:rPr>
        <w:t xml:space="preserve"> the</w:t>
      </w:r>
      <w:r w:rsidR="008F357C">
        <w:rPr>
          <w:lang w:val="sv-SE"/>
        </w:rPr>
        <w:t xml:space="preserve"> RAN</w:t>
      </w:r>
      <w:r w:rsidR="00005BC4">
        <w:rPr>
          <w:lang w:val="sv-SE"/>
        </w:rPr>
        <w:t xml:space="preserve">, </w:t>
      </w:r>
      <w:r w:rsidR="008F357C">
        <w:rPr>
          <w:lang w:val="sv-SE"/>
        </w:rPr>
        <w:t xml:space="preserve">it’s </w:t>
      </w:r>
      <w:r>
        <w:rPr>
          <w:lang w:val="sv-SE"/>
        </w:rPr>
        <w:t>no</w:t>
      </w:r>
      <w:r w:rsidR="008F357C">
        <w:rPr>
          <w:lang w:val="sv-SE"/>
        </w:rPr>
        <w:t>t</w:t>
      </w:r>
      <w:r>
        <w:rPr>
          <w:lang w:val="sv-SE"/>
        </w:rPr>
        <w:t xml:space="preserve"> further </w:t>
      </w:r>
      <w:r w:rsidR="008F357C">
        <w:rPr>
          <w:lang w:val="sv-SE"/>
        </w:rPr>
        <w:t xml:space="preserve">discussed </w:t>
      </w:r>
      <w:r>
        <w:rPr>
          <w:lang w:val="sv-SE"/>
        </w:rPr>
        <w:t xml:space="preserve">in this </w:t>
      </w:r>
      <w:r w:rsidR="00863DE6">
        <w:rPr>
          <w:lang w:val="sv-SE"/>
        </w:rPr>
        <w:t xml:space="preserve">document. </w:t>
      </w:r>
    </w:p>
    <w:p w14:paraId="62421EE8" w14:textId="7A4D0B70" w:rsidR="002A4FDE" w:rsidRPr="00270883" w:rsidRDefault="002A4FDE" w:rsidP="00CC0F14">
      <w:pPr>
        <w:rPr>
          <w:b/>
          <w:bCs/>
          <w:lang w:val="sv-SE"/>
        </w:rPr>
      </w:pPr>
      <w:r w:rsidRPr="00270883">
        <w:rPr>
          <w:b/>
          <w:bCs/>
          <w:lang w:val="sv-SE"/>
        </w:rPr>
        <w:t xml:space="preserve">Observation2: ECC Report 313 </w:t>
      </w:r>
      <w:r w:rsidR="00270883" w:rsidRPr="00270883">
        <w:rPr>
          <w:b/>
          <w:bCs/>
          <w:lang w:val="sv-SE"/>
        </w:rPr>
        <w:t>studies the compatability of FRMCS in the 900 MHz range with adjacent services</w:t>
      </w:r>
      <w:r w:rsidR="00270883">
        <w:rPr>
          <w:b/>
          <w:bCs/>
          <w:lang w:val="sv-SE"/>
        </w:rPr>
        <w:t>.</w:t>
      </w:r>
    </w:p>
    <w:p w14:paraId="44FD3E7C" w14:textId="0CB22E7A" w:rsidR="005238F3" w:rsidRDefault="005238F3" w:rsidP="008B24FB">
      <w:pPr>
        <w:pStyle w:val="Heading3"/>
      </w:pPr>
      <w:r>
        <w:t>ECC Report 314</w:t>
      </w:r>
      <w:r w:rsidR="00711EF2">
        <w:t xml:space="preserve"> (</w:t>
      </w:r>
      <w:r w:rsidR="00711EF2">
        <w:fldChar w:fldCharType="begin"/>
      </w:r>
      <w:r w:rsidR="00711EF2">
        <w:instrText xml:space="preserve"> REF _Ref157097489 \r \h </w:instrText>
      </w:r>
      <w:r w:rsidR="00711EF2">
        <w:fldChar w:fldCharType="separate"/>
      </w:r>
      <w:r w:rsidR="00E055EE">
        <w:t>[3]</w:t>
      </w:r>
      <w:r w:rsidR="00711EF2">
        <w:fldChar w:fldCharType="end"/>
      </w:r>
      <w:r w:rsidR="00711EF2">
        <w:t>)</w:t>
      </w:r>
    </w:p>
    <w:p w14:paraId="58B7F1EA" w14:textId="1610EF3E" w:rsidR="005F2F44" w:rsidRDefault="005F2F44" w:rsidP="005F2F44">
      <w:pPr>
        <w:rPr>
          <w:lang w:val="sv-SE"/>
        </w:rPr>
      </w:pPr>
      <w:r>
        <w:rPr>
          <w:lang w:val="sv-SE"/>
        </w:rPr>
        <w:t>This report studie</w:t>
      </w:r>
      <w:r w:rsidR="002A3700">
        <w:rPr>
          <w:lang w:val="sv-SE"/>
        </w:rPr>
        <w:t>s</w:t>
      </w:r>
      <w:r>
        <w:rPr>
          <w:lang w:val="sv-SE"/>
        </w:rPr>
        <w:t xml:space="preserve"> the compatability of RMR in the 1900-1920 MHz frequency range with adjacent services. </w:t>
      </w:r>
    </w:p>
    <w:p w14:paraId="23C87DFE" w14:textId="5BD88F06" w:rsidR="005F2F44" w:rsidRDefault="005F2F44" w:rsidP="005F2F44">
      <w:pPr>
        <w:rPr>
          <w:lang w:val="sv-SE"/>
        </w:rPr>
      </w:pPr>
      <w:r>
        <w:rPr>
          <w:lang w:val="sv-SE"/>
        </w:rPr>
        <w:t>In this report, CEPT check</w:t>
      </w:r>
      <w:r w:rsidR="00005BC4">
        <w:rPr>
          <w:lang w:val="sv-SE"/>
        </w:rPr>
        <w:t>e</w:t>
      </w:r>
      <w:r w:rsidR="002A3700">
        <w:rPr>
          <w:lang w:val="sv-SE"/>
        </w:rPr>
        <w:t>s</w:t>
      </w:r>
      <w:r>
        <w:rPr>
          <w:lang w:val="sv-SE"/>
        </w:rPr>
        <w:t xml:space="preserve"> the coexistence aspects with 2 adjacent services:</w:t>
      </w:r>
    </w:p>
    <w:p w14:paraId="5D9646E6" w14:textId="77777777" w:rsidR="005F2F44" w:rsidRPr="005F2F44" w:rsidRDefault="005F2F44" w:rsidP="005F2F44">
      <w:pPr>
        <w:pStyle w:val="ListParagraph"/>
        <w:numPr>
          <w:ilvl w:val="0"/>
          <w:numId w:val="35"/>
        </w:numPr>
        <w:ind w:firstLineChars="0"/>
        <w:rPr>
          <w:rFonts w:eastAsia="SimSun"/>
          <w:lang w:val="sv-SE"/>
        </w:rPr>
      </w:pPr>
      <w:r w:rsidRPr="005F2F44">
        <w:rPr>
          <w:rFonts w:eastAsia="SimSun"/>
          <w:lang w:val="sv-SE"/>
        </w:rPr>
        <w:t>Mobile/Fixed Communication Networks (MFCN) in the uplink band 1920-1980 MHz.</w:t>
      </w:r>
    </w:p>
    <w:p w14:paraId="692AC649" w14:textId="046D45B5" w:rsidR="005F2F44" w:rsidRDefault="005F2F44" w:rsidP="005F2F44">
      <w:pPr>
        <w:pStyle w:val="ListParagraph"/>
        <w:numPr>
          <w:ilvl w:val="0"/>
          <w:numId w:val="35"/>
        </w:numPr>
        <w:ind w:firstLineChars="0"/>
        <w:rPr>
          <w:rFonts w:eastAsia="SimSun"/>
          <w:lang w:val="sv-SE"/>
        </w:rPr>
      </w:pPr>
      <w:r w:rsidRPr="005F2F44">
        <w:rPr>
          <w:rFonts w:eastAsia="SimSun"/>
          <w:lang w:val="sv-SE"/>
        </w:rPr>
        <w:t>DECT in 1880-1900 MHz.</w:t>
      </w:r>
    </w:p>
    <w:p w14:paraId="6F17DE88" w14:textId="4A2FEF14" w:rsidR="001A6EA1" w:rsidRDefault="001A6EA1" w:rsidP="001A6EA1">
      <w:pPr>
        <w:rPr>
          <w:lang w:val="sv-SE"/>
        </w:rPr>
      </w:pPr>
      <w:r>
        <w:rPr>
          <w:lang w:val="sv-SE"/>
        </w:rPr>
        <w:t xml:space="preserve">Nevertheless, </w:t>
      </w:r>
      <w:r w:rsidR="00AF4AF9">
        <w:rPr>
          <w:lang w:val="sv-SE"/>
        </w:rPr>
        <w:t>in this report, CEPT focuse</w:t>
      </w:r>
      <w:r w:rsidR="002A3700">
        <w:rPr>
          <w:lang w:val="sv-SE"/>
        </w:rPr>
        <w:t>d</w:t>
      </w:r>
      <w:r w:rsidR="00AF4AF9">
        <w:rPr>
          <w:lang w:val="sv-SE"/>
        </w:rPr>
        <w:t xml:space="preserve"> on the interference o</w:t>
      </w:r>
      <w:r w:rsidR="00133165">
        <w:rPr>
          <w:lang w:val="sv-SE"/>
        </w:rPr>
        <w:t>f</w:t>
      </w:r>
      <w:r w:rsidR="00AF4AF9">
        <w:rPr>
          <w:lang w:val="sv-SE"/>
        </w:rPr>
        <w:t xml:space="preserve"> </w:t>
      </w:r>
      <w:r w:rsidR="00133165">
        <w:rPr>
          <w:lang w:val="sv-SE"/>
        </w:rPr>
        <w:t xml:space="preserve">MFCN on FRMCS and the </w:t>
      </w:r>
      <w:r w:rsidR="006845CB">
        <w:rPr>
          <w:lang w:val="sv-SE"/>
        </w:rPr>
        <w:t xml:space="preserve">coexistence between DECT and FRMCS. The </w:t>
      </w:r>
      <w:r w:rsidR="00C72888">
        <w:rPr>
          <w:lang w:val="sv-SE"/>
        </w:rPr>
        <w:t>impact</w:t>
      </w:r>
      <w:r w:rsidR="006845CB">
        <w:rPr>
          <w:lang w:val="sv-SE"/>
        </w:rPr>
        <w:t xml:space="preserve"> of FRMCS on MFCN is </w:t>
      </w:r>
      <w:r w:rsidR="00C72888">
        <w:rPr>
          <w:lang w:val="sv-SE"/>
        </w:rPr>
        <w:t>addressed</w:t>
      </w:r>
      <w:r w:rsidR="006845CB">
        <w:rPr>
          <w:lang w:val="sv-SE"/>
        </w:rPr>
        <w:t xml:space="preserve"> in ECC Report </w:t>
      </w:r>
      <w:r w:rsidR="00E961EB">
        <w:rPr>
          <w:lang w:val="sv-SE"/>
        </w:rPr>
        <w:t>318.</w:t>
      </w:r>
    </w:p>
    <w:p w14:paraId="7BDA7854" w14:textId="73A0F23A" w:rsidR="00270883" w:rsidRPr="00AA5394" w:rsidRDefault="00270883" w:rsidP="001A6EA1">
      <w:pPr>
        <w:rPr>
          <w:b/>
          <w:bCs/>
          <w:lang w:val="sv-SE"/>
        </w:rPr>
      </w:pPr>
      <w:r w:rsidRPr="00AA5394">
        <w:rPr>
          <w:b/>
          <w:bCs/>
          <w:lang w:val="sv-SE"/>
        </w:rPr>
        <w:t xml:space="preserve">Observation3: </w:t>
      </w:r>
      <w:r w:rsidR="00C70C79" w:rsidRPr="00AA5394">
        <w:rPr>
          <w:b/>
          <w:bCs/>
          <w:lang w:val="sv-SE"/>
        </w:rPr>
        <w:t xml:space="preserve">ECC Report 314 studies the compatability of RMR in the 1900-1920 MHz frequency range with adjacent services, focusing on the interference of MFCN </w:t>
      </w:r>
      <w:r w:rsidR="00AA5394" w:rsidRPr="00AA5394">
        <w:rPr>
          <w:b/>
          <w:bCs/>
          <w:lang w:val="sv-SE"/>
        </w:rPr>
        <w:t>on FRMCS.</w:t>
      </w:r>
    </w:p>
    <w:p w14:paraId="0492EF23" w14:textId="65AFE397" w:rsidR="005238F3" w:rsidRDefault="005238F3" w:rsidP="00690430">
      <w:pPr>
        <w:pStyle w:val="Heading3"/>
      </w:pPr>
      <w:r>
        <w:t>ECC Report 318</w:t>
      </w:r>
      <w:r w:rsidR="00711EF2">
        <w:t xml:space="preserve"> (</w:t>
      </w:r>
      <w:r w:rsidR="00711EF2">
        <w:fldChar w:fldCharType="begin"/>
      </w:r>
      <w:r w:rsidR="00711EF2">
        <w:instrText xml:space="preserve"> REF _Ref157097497 \r \h </w:instrText>
      </w:r>
      <w:r w:rsidR="00711EF2">
        <w:fldChar w:fldCharType="separate"/>
      </w:r>
      <w:r w:rsidR="00E055EE">
        <w:t>[4]</w:t>
      </w:r>
      <w:r w:rsidR="00711EF2">
        <w:fldChar w:fldCharType="end"/>
      </w:r>
      <w:r w:rsidR="00711EF2">
        <w:t>)</w:t>
      </w:r>
    </w:p>
    <w:p w14:paraId="4F5C180E" w14:textId="2BA3E27B" w:rsidR="00567B63" w:rsidRDefault="00567B63" w:rsidP="00567B63">
      <w:pPr>
        <w:rPr>
          <w:lang w:val="sv-SE"/>
        </w:rPr>
      </w:pPr>
      <w:r>
        <w:rPr>
          <w:lang w:val="sv-SE"/>
        </w:rPr>
        <w:t xml:space="preserve">This report studies the compatability </w:t>
      </w:r>
      <w:r w:rsidR="00246A5E">
        <w:rPr>
          <w:lang w:val="sv-SE"/>
        </w:rPr>
        <w:t>between</w:t>
      </w:r>
      <w:r>
        <w:rPr>
          <w:lang w:val="sv-SE"/>
        </w:rPr>
        <w:t xml:space="preserve"> RMR </w:t>
      </w:r>
      <w:r w:rsidR="00246A5E">
        <w:rPr>
          <w:lang w:val="sv-SE"/>
        </w:rPr>
        <w:t xml:space="preserve">and </w:t>
      </w:r>
      <w:r w:rsidR="00072AD9">
        <w:rPr>
          <w:lang w:val="sv-SE"/>
        </w:rPr>
        <w:t>MFCN</w:t>
      </w:r>
      <w:r w:rsidR="00246A5E">
        <w:rPr>
          <w:lang w:val="sv-SE"/>
        </w:rPr>
        <w:t xml:space="preserve"> in the 900MHz range, </w:t>
      </w:r>
      <w:r>
        <w:rPr>
          <w:lang w:val="sv-SE"/>
        </w:rPr>
        <w:t>in the 1900-19</w:t>
      </w:r>
      <w:r w:rsidR="005917A8">
        <w:rPr>
          <w:lang w:val="sv-SE"/>
        </w:rPr>
        <w:t>1</w:t>
      </w:r>
      <w:r>
        <w:rPr>
          <w:lang w:val="sv-SE"/>
        </w:rPr>
        <w:t xml:space="preserve">0 MHz </w:t>
      </w:r>
      <w:r w:rsidR="001F274E">
        <w:rPr>
          <w:lang w:val="sv-SE"/>
        </w:rPr>
        <w:t xml:space="preserve">and in the 2290-2300 MHz </w:t>
      </w:r>
      <w:r>
        <w:rPr>
          <w:lang w:val="sv-SE"/>
        </w:rPr>
        <w:t>frequency range.</w:t>
      </w:r>
    </w:p>
    <w:p w14:paraId="4757F950" w14:textId="1F6B2D3C" w:rsidR="00C27933" w:rsidRDefault="009D0228" w:rsidP="00C27933">
      <w:pPr>
        <w:rPr>
          <w:lang w:val="sv-SE"/>
        </w:rPr>
      </w:pPr>
      <w:r>
        <w:rPr>
          <w:lang w:val="sv-SE"/>
        </w:rPr>
        <w:t xml:space="preserve">Regarding the </w:t>
      </w:r>
      <w:r w:rsidR="00C27933">
        <w:rPr>
          <w:lang w:val="sv-SE"/>
        </w:rPr>
        <w:t>1900-19</w:t>
      </w:r>
      <w:r w:rsidR="00CC66E3">
        <w:rPr>
          <w:lang w:val="sv-SE"/>
        </w:rPr>
        <w:t>1</w:t>
      </w:r>
      <w:r w:rsidR="00C27933">
        <w:rPr>
          <w:lang w:val="sv-SE"/>
        </w:rPr>
        <w:t xml:space="preserve">0 MHz frequency range, CEPT studied: </w:t>
      </w:r>
    </w:p>
    <w:p w14:paraId="06FCCC60" w14:textId="7FCF2171" w:rsidR="00C27933" w:rsidRPr="00C27933" w:rsidRDefault="00C27933" w:rsidP="0028395A">
      <w:pPr>
        <w:pStyle w:val="ListParagraph"/>
        <w:numPr>
          <w:ilvl w:val="0"/>
          <w:numId w:val="35"/>
        </w:numPr>
        <w:ind w:firstLineChars="0"/>
        <w:rPr>
          <w:rFonts w:eastAsia="SimSun"/>
          <w:lang w:val="sv-SE"/>
        </w:rPr>
      </w:pPr>
      <w:r w:rsidRPr="00C27933">
        <w:rPr>
          <w:rFonts w:eastAsia="SimSun"/>
          <w:lang w:val="sv-SE"/>
        </w:rPr>
        <w:t>The impact of FRMCS BS on MFCN BS receiving above 19</w:t>
      </w:r>
      <w:r w:rsidR="005A636B">
        <w:rPr>
          <w:rFonts w:eastAsia="SimSun"/>
          <w:lang w:val="sv-SE"/>
        </w:rPr>
        <w:t>2</w:t>
      </w:r>
      <w:r w:rsidRPr="00C27933">
        <w:rPr>
          <w:rFonts w:eastAsia="SimSun"/>
          <w:lang w:val="sv-SE"/>
        </w:rPr>
        <w:t xml:space="preserve">0 MHz; </w:t>
      </w:r>
    </w:p>
    <w:p w14:paraId="5E1F645E" w14:textId="4B264315" w:rsidR="00C27933" w:rsidRPr="00C27933" w:rsidRDefault="00C27933" w:rsidP="0028395A">
      <w:pPr>
        <w:pStyle w:val="ListParagraph"/>
        <w:numPr>
          <w:ilvl w:val="0"/>
          <w:numId w:val="35"/>
        </w:numPr>
        <w:ind w:firstLineChars="0"/>
        <w:rPr>
          <w:rFonts w:eastAsia="SimSun"/>
          <w:lang w:val="sv-SE"/>
        </w:rPr>
      </w:pPr>
      <w:r w:rsidRPr="00C27933">
        <w:rPr>
          <w:rFonts w:eastAsia="SimSun"/>
          <w:lang w:val="sv-SE"/>
        </w:rPr>
        <w:t>The impact of FRMCS high-power UE on MFCN BS receiving above 19</w:t>
      </w:r>
      <w:r w:rsidR="005A636B">
        <w:rPr>
          <w:rFonts w:eastAsia="SimSun"/>
          <w:lang w:val="sv-SE"/>
        </w:rPr>
        <w:t>2</w:t>
      </w:r>
      <w:r w:rsidRPr="00C27933">
        <w:rPr>
          <w:rFonts w:eastAsia="SimSun"/>
          <w:lang w:val="sv-SE"/>
        </w:rPr>
        <w:t xml:space="preserve">0 MHz. </w:t>
      </w:r>
    </w:p>
    <w:p w14:paraId="232A67B6" w14:textId="57675F4E" w:rsidR="00C27933" w:rsidRDefault="00B86AC0" w:rsidP="00567B63">
      <w:pPr>
        <w:rPr>
          <w:lang w:val="sv-SE"/>
        </w:rPr>
      </w:pPr>
      <w:r w:rsidRPr="00B86AC0">
        <w:rPr>
          <w:lang w:val="sv-SE"/>
        </w:rPr>
        <w:t>Only non-AAS FRMCS and non-AAS MFCN systems have been considered.</w:t>
      </w:r>
    </w:p>
    <w:p w14:paraId="3D4DA20E" w14:textId="148588C9" w:rsidR="00AA5394" w:rsidRPr="00AA5394" w:rsidRDefault="00AA5394" w:rsidP="00AA5394">
      <w:pPr>
        <w:rPr>
          <w:b/>
          <w:bCs/>
          <w:lang w:val="sv-SE"/>
        </w:rPr>
      </w:pPr>
      <w:r w:rsidRPr="00AA5394">
        <w:rPr>
          <w:b/>
          <w:bCs/>
          <w:lang w:val="sv-SE"/>
        </w:rPr>
        <w:t>Observation</w:t>
      </w:r>
      <w:r>
        <w:rPr>
          <w:b/>
          <w:bCs/>
          <w:lang w:val="sv-SE"/>
        </w:rPr>
        <w:t>4:</w:t>
      </w:r>
      <w:r w:rsidRPr="00AA5394">
        <w:rPr>
          <w:b/>
          <w:bCs/>
          <w:lang w:val="sv-SE"/>
        </w:rPr>
        <w:t xml:space="preserve"> ECC Report 31</w:t>
      </w:r>
      <w:r>
        <w:rPr>
          <w:b/>
          <w:bCs/>
          <w:lang w:val="sv-SE"/>
        </w:rPr>
        <w:t>8</w:t>
      </w:r>
      <w:r w:rsidRPr="00AA5394">
        <w:rPr>
          <w:b/>
          <w:bCs/>
          <w:lang w:val="sv-SE"/>
        </w:rPr>
        <w:t xml:space="preserve"> studies the compatability </w:t>
      </w:r>
      <w:r w:rsidR="00C65E62">
        <w:rPr>
          <w:b/>
          <w:bCs/>
          <w:lang w:val="sv-SE"/>
        </w:rPr>
        <w:t>between</w:t>
      </w:r>
      <w:r w:rsidRPr="00AA5394">
        <w:rPr>
          <w:b/>
          <w:bCs/>
          <w:lang w:val="sv-SE"/>
        </w:rPr>
        <w:t xml:space="preserve"> RMR in the 1900-19</w:t>
      </w:r>
      <w:r w:rsidR="005917A8">
        <w:rPr>
          <w:b/>
          <w:bCs/>
          <w:lang w:val="sv-SE"/>
        </w:rPr>
        <w:t>1</w:t>
      </w:r>
      <w:r w:rsidRPr="00AA5394">
        <w:rPr>
          <w:b/>
          <w:bCs/>
          <w:lang w:val="sv-SE"/>
        </w:rPr>
        <w:t>0 MHz frequency range</w:t>
      </w:r>
      <w:r w:rsidR="005E54A5">
        <w:rPr>
          <w:b/>
          <w:bCs/>
          <w:lang w:val="sv-SE"/>
        </w:rPr>
        <w:t xml:space="preserve"> and MFCN above 1920 MHz</w:t>
      </w:r>
      <w:r w:rsidRPr="00AA5394">
        <w:rPr>
          <w:b/>
          <w:bCs/>
          <w:lang w:val="sv-SE"/>
        </w:rPr>
        <w:t>.</w:t>
      </w:r>
    </w:p>
    <w:p w14:paraId="47479224" w14:textId="1B689DB2" w:rsidR="00067690" w:rsidRPr="00461E4D" w:rsidRDefault="00430DCF" w:rsidP="002A7A12">
      <w:pPr>
        <w:pStyle w:val="Default"/>
        <w:rPr>
          <w:rFonts w:ascii="Calibri" w:hAnsi="Calibri" w:cs="Calibri"/>
          <w:color w:val="auto"/>
          <w:sz w:val="22"/>
          <w:szCs w:val="22"/>
          <w:lang w:val="sv-SE"/>
        </w:rPr>
      </w:pPr>
      <w:r w:rsidRPr="00461E4D">
        <w:rPr>
          <w:rFonts w:ascii="Calibri" w:hAnsi="Calibri" w:cs="Calibri"/>
          <w:color w:val="auto"/>
          <w:sz w:val="22"/>
          <w:szCs w:val="22"/>
          <w:lang w:val="sv-SE"/>
        </w:rPr>
        <w:t xml:space="preserve">From the </w:t>
      </w:r>
      <w:r w:rsidR="00F02450">
        <w:rPr>
          <w:rFonts w:ascii="Calibri" w:hAnsi="Calibri" w:cs="Calibri"/>
          <w:color w:val="auto"/>
          <w:sz w:val="22"/>
          <w:szCs w:val="22"/>
          <w:lang w:val="sv-SE"/>
        </w:rPr>
        <w:t>two</w:t>
      </w:r>
      <w:r w:rsidRPr="00461E4D">
        <w:rPr>
          <w:rFonts w:ascii="Calibri" w:hAnsi="Calibri" w:cs="Calibri"/>
          <w:color w:val="auto"/>
          <w:sz w:val="22"/>
          <w:szCs w:val="22"/>
          <w:lang w:val="sv-SE"/>
        </w:rPr>
        <w:t xml:space="preserve"> taken approaches (</w:t>
      </w:r>
      <w:r w:rsidR="00F02450">
        <w:rPr>
          <w:rFonts w:ascii="Calibri" w:hAnsi="Calibri" w:cs="Calibri"/>
          <w:color w:val="auto"/>
          <w:sz w:val="22"/>
          <w:szCs w:val="22"/>
          <w:lang w:val="sv-SE"/>
        </w:rPr>
        <w:t xml:space="preserve">the </w:t>
      </w:r>
      <w:r w:rsidR="002A7A12" w:rsidRPr="00461E4D">
        <w:rPr>
          <w:rFonts w:ascii="Calibri" w:hAnsi="Calibri" w:cs="Calibri"/>
          <w:color w:val="auto"/>
          <w:sz w:val="22"/>
          <w:szCs w:val="22"/>
          <w:lang w:val="sv-SE"/>
        </w:rPr>
        <w:t>100 met</w:t>
      </w:r>
      <w:r w:rsidR="00F02450">
        <w:rPr>
          <w:rFonts w:ascii="Calibri" w:hAnsi="Calibri" w:cs="Calibri"/>
          <w:color w:val="auto"/>
          <w:sz w:val="22"/>
          <w:szCs w:val="22"/>
          <w:lang w:val="sv-SE"/>
        </w:rPr>
        <w:t>ers</w:t>
      </w:r>
      <w:r w:rsidR="002A7A12" w:rsidRPr="00461E4D">
        <w:rPr>
          <w:rFonts w:ascii="Calibri" w:hAnsi="Calibri" w:cs="Calibri"/>
          <w:color w:val="auto"/>
          <w:sz w:val="22"/>
          <w:szCs w:val="22"/>
          <w:lang w:val="sv-SE"/>
        </w:rPr>
        <w:t xml:space="preserve"> MCL calculation and the statistical approach</w:t>
      </w:r>
      <w:r w:rsidRPr="00461E4D">
        <w:rPr>
          <w:rFonts w:ascii="Calibri" w:hAnsi="Calibri" w:cs="Calibri"/>
          <w:color w:val="auto"/>
          <w:sz w:val="22"/>
          <w:szCs w:val="22"/>
          <w:lang w:val="sv-SE"/>
        </w:rPr>
        <w:t>),</w:t>
      </w:r>
      <w:r w:rsidR="002A7A12" w:rsidRPr="00461E4D">
        <w:rPr>
          <w:rFonts w:ascii="Calibri" w:hAnsi="Calibri" w:cs="Calibri"/>
          <w:color w:val="auto"/>
          <w:sz w:val="22"/>
          <w:szCs w:val="22"/>
          <w:lang w:val="sv-SE"/>
        </w:rPr>
        <w:t xml:space="preserve"> assuming a MFCN BS selectivity as per CEPT Report 39, </w:t>
      </w:r>
      <w:r w:rsidRPr="00461E4D">
        <w:rPr>
          <w:rFonts w:ascii="Calibri" w:hAnsi="Calibri" w:cs="Calibri"/>
          <w:color w:val="auto"/>
          <w:sz w:val="22"/>
          <w:szCs w:val="22"/>
          <w:lang w:val="sv-SE"/>
        </w:rPr>
        <w:t xml:space="preserve">CEPT concludes </w:t>
      </w:r>
      <w:r w:rsidR="002E4A20" w:rsidRPr="00461E4D">
        <w:rPr>
          <w:rFonts w:ascii="Calibri" w:hAnsi="Calibri" w:cs="Calibri"/>
          <w:color w:val="auto"/>
          <w:sz w:val="22"/>
          <w:szCs w:val="22"/>
          <w:lang w:val="sv-SE"/>
        </w:rPr>
        <w:t>on the</w:t>
      </w:r>
      <w:r w:rsidR="002A7A12" w:rsidRPr="00461E4D">
        <w:rPr>
          <w:rFonts w:ascii="Calibri" w:hAnsi="Calibri" w:cs="Calibri"/>
          <w:color w:val="auto"/>
          <w:sz w:val="22"/>
          <w:szCs w:val="22"/>
          <w:lang w:val="sv-SE"/>
        </w:rPr>
        <w:t xml:space="preserve"> LRTC requiring in-block </w:t>
      </w:r>
      <w:r w:rsidR="00B8758B" w:rsidRPr="00461E4D">
        <w:rPr>
          <w:rFonts w:ascii="Calibri" w:hAnsi="Calibri" w:cs="Calibri"/>
          <w:color w:val="auto"/>
          <w:sz w:val="22"/>
          <w:szCs w:val="22"/>
          <w:lang w:val="sv-SE"/>
        </w:rPr>
        <w:t>EIRP</w:t>
      </w:r>
      <w:r w:rsidR="002A7A12" w:rsidRPr="00461E4D">
        <w:rPr>
          <w:rFonts w:ascii="Calibri" w:hAnsi="Calibri" w:cs="Calibri"/>
          <w:color w:val="auto"/>
          <w:sz w:val="22"/>
          <w:szCs w:val="22"/>
          <w:lang w:val="sv-SE"/>
        </w:rPr>
        <w:t xml:space="preserve"> limit for FRMCS BS of 40.7 dBm/10 MHz and 50.7 dBm/10 MHz respectively. </w:t>
      </w:r>
    </w:p>
    <w:p w14:paraId="62D7C757" w14:textId="77777777" w:rsidR="00067690" w:rsidRPr="00461E4D" w:rsidRDefault="00067690" w:rsidP="002A7A12">
      <w:pPr>
        <w:pStyle w:val="Default"/>
        <w:rPr>
          <w:rFonts w:ascii="Calibri" w:hAnsi="Calibri" w:cs="Calibri"/>
          <w:color w:val="auto"/>
          <w:sz w:val="22"/>
          <w:szCs w:val="22"/>
          <w:lang w:val="sv-SE"/>
        </w:rPr>
      </w:pPr>
    </w:p>
    <w:p w14:paraId="10A83660" w14:textId="7D800EB1" w:rsidR="00F5619C" w:rsidRDefault="001E5D42" w:rsidP="002A7A12">
      <w:pPr>
        <w:pStyle w:val="Default"/>
        <w:rPr>
          <w:rFonts w:ascii="Calibri" w:hAnsi="Calibri" w:cs="Calibri"/>
          <w:color w:val="auto"/>
          <w:sz w:val="22"/>
          <w:szCs w:val="22"/>
          <w:lang w:val="sv-SE"/>
        </w:rPr>
      </w:pPr>
      <w:r w:rsidRPr="00461E4D">
        <w:rPr>
          <w:rFonts w:ascii="Calibri" w:hAnsi="Calibri" w:cs="Calibri"/>
          <w:color w:val="auto"/>
          <w:sz w:val="22"/>
          <w:szCs w:val="22"/>
          <w:lang w:val="sv-SE"/>
        </w:rPr>
        <w:t>T</w:t>
      </w:r>
      <w:r w:rsidR="002A7A12" w:rsidRPr="00461E4D">
        <w:rPr>
          <w:rFonts w:ascii="Calibri" w:hAnsi="Calibri" w:cs="Calibri"/>
          <w:color w:val="auto"/>
          <w:sz w:val="22"/>
          <w:szCs w:val="22"/>
          <w:lang w:val="sv-SE"/>
        </w:rPr>
        <w:t>he report also considers the operation of FRMCS with macro coverage</w:t>
      </w:r>
      <w:r w:rsidR="00DC0E8D">
        <w:rPr>
          <w:rFonts w:ascii="Calibri" w:hAnsi="Calibri" w:cs="Calibri"/>
          <w:color w:val="auto"/>
          <w:sz w:val="22"/>
          <w:szCs w:val="22"/>
          <w:lang w:val="sv-SE"/>
        </w:rPr>
        <w:t xml:space="preserve"> and uncoordinated deployment</w:t>
      </w:r>
      <w:r w:rsidR="00557F25" w:rsidRPr="00461E4D">
        <w:rPr>
          <w:rFonts w:ascii="Calibri" w:hAnsi="Calibri" w:cs="Calibri"/>
          <w:color w:val="auto"/>
          <w:sz w:val="22"/>
          <w:szCs w:val="22"/>
          <w:lang w:val="sv-SE"/>
        </w:rPr>
        <w:t xml:space="preserve">, </w:t>
      </w:r>
      <w:r w:rsidR="00A11801">
        <w:rPr>
          <w:rFonts w:ascii="Calibri" w:hAnsi="Calibri" w:cs="Calibri"/>
          <w:color w:val="auto"/>
          <w:sz w:val="22"/>
          <w:szCs w:val="22"/>
          <w:lang w:val="sv-SE"/>
        </w:rPr>
        <w:t xml:space="preserve">asuming a higher MFCN </w:t>
      </w:r>
      <w:r w:rsidR="00306EE8">
        <w:rPr>
          <w:rFonts w:ascii="Calibri" w:hAnsi="Calibri" w:cs="Calibri"/>
          <w:color w:val="auto"/>
          <w:sz w:val="22"/>
          <w:szCs w:val="22"/>
          <w:lang w:val="sv-SE"/>
        </w:rPr>
        <w:t xml:space="preserve">BS </w:t>
      </w:r>
      <w:r w:rsidR="00A11801">
        <w:rPr>
          <w:rFonts w:ascii="Calibri" w:hAnsi="Calibri" w:cs="Calibri"/>
          <w:color w:val="auto"/>
          <w:sz w:val="22"/>
          <w:szCs w:val="22"/>
          <w:lang w:val="sv-SE"/>
        </w:rPr>
        <w:t>select</w:t>
      </w:r>
      <w:r w:rsidR="00306EE8">
        <w:rPr>
          <w:rFonts w:ascii="Calibri" w:hAnsi="Calibri" w:cs="Calibri"/>
          <w:color w:val="auto"/>
          <w:sz w:val="22"/>
          <w:szCs w:val="22"/>
          <w:lang w:val="sv-SE"/>
        </w:rPr>
        <w:t xml:space="preserve">ivity. </w:t>
      </w:r>
      <w:r w:rsidR="000A4F5B">
        <w:rPr>
          <w:rFonts w:ascii="Calibri" w:hAnsi="Calibri" w:cs="Calibri"/>
          <w:color w:val="auto"/>
          <w:sz w:val="22"/>
          <w:szCs w:val="22"/>
          <w:lang w:val="sv-SE"/>
        </w:rPr>
        <w:t>Based on</w:t>
      </w:r>
      <w:r w:rsidR="0031024E">
        <w:rPr>
          <w:rFonts w:ascii="Calibri" w:hAnsi="Calibri" w:cs="Calibri"/>
          <w:color w:val="auto"/>
          <w:sz w:val="22"/>
          <w:szCs w:val="22"/>
          <w:lang w:val="sv-SE"/>
        </w:rPr>
        <w:t xml:space="preserve"> this study, CEPT specified </w:t>
      </w:r>
      <w:r w:rsidR="002A7A12" w:rsidRPr="00461E4D">
        <w:rPr>
          <w:rFonts w:ascii="Calibri" w:hAnsi="Calibri" w:cs="Calibri"/>
          <w:color w:val="auto"/>
          <w:sz w:val="22"/>
          <w:szCs w:val="22"/>
          <w:lang w:val="sv-SE"/>
        </w:rPr>
        <w:t xml:space="preserve">an in-block </w:t>
      </w:r>
      <w:r w:rsidR="00557F25" w:rsidRPr="00461E4D">
        <w:rPr>
          <w:rFonts w:ascii="Calibri" w:hAnsi="Calibri" w:cs="Calibri"/>
          <w:color w:val="auto"/>
          <w:sz w:val="22"/>
          <w:szCs w:val="22"/>
          <w:lang w:val="sv-SE"/>
        </w:rPr>
        <w:t>EIRP</w:t>
      </w:r>
      <w:r w:rsidR="002A7A12" w:rsidRPr="00461E4D">
        <w:rPr>
          <w:rFonts w:ascii="Calibri" w:hAnsi="Calibri" w:cs="Calibri"/>
          <w:color w:val="auto"/>
          <w:sz w:val="22"/>
          <w:szCs w:val="22"/>
          <w:lang w:val="sv-SE"/>
        </w:rPr>
        <w:t xml:space="preserve"> of 65 dBm/10 MHz for FRMCS BS</w:t>
      </w:r>
      <w:r w:rsidR="00105924">
        <w:rPr>
          <w:rFonts w:ascii="Calibri" w:hAnsi="Calibri" w:cs="Calibri"/>
          <w:color w:val="auto"/>
          <w:sz w:val="22"/>
          <w:szCs w:val="22"/>
          <w:lang w:val="sv-SE"/>
        </w:rPr>
        <w:t xml:space="preserve">, protecting </w:t>
      </w:r>
      <w:r w:rsidR="00220019">
        <w:rPr>
          <w:rFonts w:ascii="Calibri" w:hAnsi="Calibri" w:cs="Calibri"/>
          <w:color w:val="auto"/>
          <w:sz w:val="22"/>
          <w:szCs w:val="22"/>
          <w:lang w:val="sv-SE"/>
        </w:rPr>
        <w:t xml:space="preserve">the 1920-1980 MHz </w:t>
      </w:r>
      <w:r w:rsidR="00105924">
        <w:rPr>
          <w:rFonts w:ascii="Calibri" w:hAnsi="Calibri" w:cs="Calibri"/>
          <w:color w:val="auto"/>
          <w:sz w:val="22"/>
          <w:szCs w:val="22"/>
          <w:lang w:val="sv-SE"/>
        </w:rPr>
        <w:t xml:space="preserve">range with an </w:t>
      </w:r>
      <w:r w:rsidR="00220019">
        <w:rPr>
          <w:rFonts w:ascii="Calibri" w:hAnsi="Calibri" w:cs="Calibri"/>
          <w:color w:val="auto"/>
          <w:sz w:val="22"/>
          <w:szCs w:val="22"/>
          <w:lang w:val="sv-SE"/>
        </w:rPr>
        <w:t>the EIRP limit of -43 dBM/5 MHz.</w:t>
      </w:r>
      <w:r w:rsidR="00AD0F77">
        <w:rPr>
          <w:rFonts w:ascii="Calibri" w:hAnsi="Calibri" w:cs="Calibri"/>
          <w:color w:val="auto"/>
          <w:sz w:val="22"/>
          <w:szCs w:val="22"/>
          <w:lang w:val="sv-SE"/>
        </w:rPr>
        <w:t xml:space="preserve"> </w:t>
      </w:r>
      <w:r w:rsidR="00FA7E29">
        <w:rPr>
          <w:rFonts w:ascii="Calibri" w:hAnsi="Calibri" w:cs="Calibri"/>
          <w:color w:val="auto"/>
          <w:sz w:val="22"/>
          <w:szCs w:val="22"/>
          <w:lang w:val="sv-SE"/>
        </w:rPr>
        <w:t>And t</w:t>
      </w:r>
      <w:r w:rsidR="00AD0F77">
        <w:rPr>
          <w:rFonts w:ascii="Calibri" w:hAnsi="Calibri" w:cs="Calibri"/>
          <w:color w:val="auto"/>
          <w:sz w:val="22"/>
          <w:szCs w:val="22"/>
          <w:lang w:val="sv-SE"/>
        </w:rPr>
        <w:t xml:space="preserve">he </w:t>
      </w:r>
      <w:r w:rsidR="00FA7E29">
        <w:rPr>
          <w:rFonts w:ascii="Calibri" w:hAnsi="Calibri" w:cs="Calibri"/>
          <w:color w:val="auto"/>
          <w:sz w:val="22"/>
          <w:szCs w:val="22"/>
          <w:lang w:val="sv-SE"/>
        </w:rPr>
        <w:t xml:space="preserve">specified </w:t>
      </w:r>
      <w:r w:rsidR="0001169B" w:rsidRPr="0001169B">
        <w:rPr>
          <w:rFonts w:ascii="Calibri" w:hAnsi="Calibri" w:cs="Calibri"/>
          <w:color w:val="auto"/>
          <w:sz w:val="22"/>
          <w:szCs w:val="22"/>
          <w:lang w:val="sv-SE"/>
        </w:rPr>
        <w:t>out-of-band and spurious emissions</w:t>
      </w:r>
      <w:r w:rsidR="00AD0F77">
        <w:rPr>
          <w:rFonts w:ascii="Calibri" w:hAnsi="Calibri" w:cs="Calibri"/>
          <w:color w:val="auto"/>
          <w:sz w:val="22"/>
          <w:szCs w:val="22"/>
          <w:lang w:val="sv-SE"/>
        </w:rPr>
        <w:t xml:space="preserve"> </w:t>
      </w:r>
      <w:r w:rsidR="00964367">
        <w:rPr>
          <w:rFonts w:ascii="Calibri" w:hAnsi="Calibri" w:cs="Calibri"/>
          <w:color w:val="auto"/>
          <w:sz w:val="22"/>
          <w:szCs w:val="22"/>
          <w:lang w:val="sv-SE"/>
        </w:rPr>
        <w:t xml:space="preserve">for both FMRCS BS and MFCN BS </w:t>
      </w:r>
      <w:r w:rsidR="00FA7E29">
        <w:rPr>
          <w:rFonts w:ascii="Calibri" w:hAnsi="Calibri" w:cs="Calibri"/>
          <w:color w:val="auto"/>
          <w:sz w:val="22"/>
          <w:szCs w:val="22"/>
          <w:lang w:val="sv-SE"/>
        </w:rPr>
        <w:t>are</w:t>
      </w:r>
      <w:r w:rsidR="0001169B">
        <w:rPr>
          <w:rFonts w:ascii="Calibri" w:hAnsi="Calibri" w:cs="Calibri"/>
          <w:color w:val="auto"/>
          <w:sz w:val="22"/>
          <w:szCs w:val="22"/>
          <w:lang w:val="sv-SE"/>
        </w:rPr>
        <w:t xml:space="preserve"> according to TS 37.104</w:t>
      </w:r>
      <w:r w:rsidR="00643E17">
        <w:rPr>
          <w:rFonts w:ascii="Calibri" w:hAnsi="Calibri" w:cs="Calibri"/>
          <w:color w:val="auto"/>
          <w:sz w:val="22"/>
          <w:szCs w:val="22"/>
          <w:lang w:val="sv-SE"/>
        </w:rPr>
        <w:t>.</w:t>
      </w:r>
    </w:p>
    <w:p w14:paraId="27600F5E" w14:textId="77777777" w:rsidR="00FA7E29" w:rsidRDefault="00FA7E29" w:rsidP="00FA7E29">
      <w:pPr>
        <w:pStyle w:val="Default"/>
        <w:rPr>
          <w:rFonts w:ascii="Calibri" w:hAnsi="Calibri" w:cs="Calibri"/>
          <w:color w:val="auto"/>
          <w:sz w:val="22"/>
          <w:szCs w:val="22"/>
          <w:lang w:val="sv-SE"/>
        </w:rPr>
      </w:pPr>
    </w:p>
    <w:p w14:paraId="09439E2E" w14:textId="398F9E59" w:rsidR="00FA7E29" w:rsidRDefault="00FA7E29" w:rsidP="00FA7E29">
      <w:pPr>
        <w:pStyle w:val="Default"/>
        <w:rPr>
          <w:rFonts w:ascii="Calibri" w:hAnsi="Calibri" w:cs="Calibri"/>
          <w:color w:val="auto"/>
          <w:sz w:val="22"/>
          <w:szCs w:val="22"/>
          <w:lang w:val="sv-SE"/>
        </w:rPr>
      </w:pPr>
    </w:p>
    <w:p w14:paraId="441F8BD1" w14:textId="77777777" w:rsidR="00FA7E29" w:rsidRDefault="00FA7E29" w:rsidP="002A7A12">
      <w:pPr>
        <w:pStyle w:val="Default"/>
        <w:rPr>
          <w:rFonts w:ascii="Calibri" w:hAnsi="Calibri" w:cs="Calibri"/>
          <w:color w:val="auto"/>
          <w:sz w:val="22"/>
          <w:szCs w:val="22"/>
          <w:lang w:val="sv-SE"/>
        </w:rPr>
      </w:pPr>
    </w:p>
    <w:p w14:paraId="488368FA" w14:textId="6304B368" w:rsidR="00220019" w:rsidRDefault="00220019" w:rsidP="00220019">
      <w:pPr>
        <w:pStyle w:val="Default"/>
        <w:ind w:left="284"/>
        <w:rPr>
          <w:rFonts w:ascii="Calibri" w:hAnsi="Calibri" w:cs="Calibri"/>
          <w:color w:val="auto"/>
          <w:sz w:val="22"/>
          <w:szCs w:val="22"/>
          <w:lang w:val="sv-SE"/>
        </w:rPr>
      </w:pPr>
      <w:r w:rsidRPr="00220019">
        <w:rPr>
          <w:rFonts w:ascii="Calibri" w:hAnsi="Calibri" w:cs="Calibri"/>
          <w:noProof/>
          <w:color w:val="auto"/>
          <w:sz w:val="22"/>
          <w:szCs w:val="22"/>
          <w:lang w:val="sv-SE"/>
        </w:rPr>
        <w:lastRenderedPageBreak/>
        <w:drawing>
          <wp:inline distT="0" distB="0" distL="0" distR="0" wp14:anchorId="46638D8C" wp14:editId="64F619C9">
            <wp:extent cx="4953965" cy="171572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970180" cy="1721339"/>
                    </a:xfrm>
                    <a:prstGeom prst="rect">
                      <a:avLst/>
                    </a:prstGeom>
                  </pic:spPr>
                </pic:pic>
              </a:graphicData>
            </a:graphic>
          </wp:inline>
        </w:drawing>
      </w:r>
    </w:p>
    <w:p w14:paraId="28BA34BB" w14:textId="77777777" w:rsidR="00B044E2" w:rsidRDefault="00B044E2" w:rsidP="002A7A12">
      <w:pPr>
        <w:pStyle w:val="Default"/>
        <w:rPr>
          <w:rFonts w:ascii="Calibri" w:hAnsi="Calibri" w:cs="Calibri"/>
          <w:color w:val="auto"/>
          <w:sz w:val="22"/>
          <w:szCs w:val="22"/>
          <w:lang w:val="sv-SE"/>
        </w:rPr>
      </w:pPr>
    </w:p>
    <w:p w14:paraId="16E85DEE" w14:textId="7E485BD9" w:rsidR="00220019" w:rsidRDefault="004C48ED" w:rsidP="002A7A12">
      <w:pPr>
        <w:pStyle w:val="Default"/>
        <w:rPr>
          <w:rFonts w:ascii="Calibri" w:hAnsi="Calibri" w:cs="Calibri"/>
          <w:color w:val="auto"/>
          <w:sz w:val="22"/>
          <w:szCs w:val="22"/>
          <w:lang w:val="sv-SE"/>
        </w:rPr>
      </w:pPr>
      <w:r>
        <w:rPr>
          <w:rFonts w:ascii="Calibri" w:hAnsi="Calibri" w:cs="Calibri"/>
          <w:color w:val="auto"/>
          <w:sz w:val="22"/>
          <w:szCs w:val="22"/>
          <w:lang w:val="sv-SE"/>
        </w:rPr>
        <w:t xml:space="preserve">With those limits, </w:t>
      </w:r>
      <w:r w:rsidR="00D42A91" w:rsidRPr="00461E4D">
        <w:rPr>
          <w:rFonts w:ascii="Calibri" w:hAnsi="Calibri" w:cs="Calibri"/>
          <w:color w:val="auto"/>
          <w:sz w:val="22"/>
          <w:szCs w:val="22"/>
          <w:lang w:val="sv-SE"/>
        </w:rPr>
        <w:t xml:space="preserve">CEPT </w:t>
      </w:r>
      <w:r>
        <w:rPr>
          <w:rFonts w:ascii="Calibri" w:hAnsi="Calibri" w:cs="Calibri"/>
          <w:color w:val="auto"/>
          <w:sz w:val="22"/>
          <w:szCs w:val="22"/>
          <w:lang w:val="sv-SE"/>
        </w:rPr>
        <w:t xml:space="preserve">Report </w:t>
      </w:r>
      <w:r w:rsidR="00D42A91" w:rsidRPr="00461E4D">
        <w:rPr>
          <w:rFonts w:ascii="Calibri" w:hAnsi="Calibri" w:cs="Calibri"/>
          <w:color w:val="auto"/>
          <w:sz w:val="22"/>
          <w:szCs w:val="22"/>
          <w:lang w:val="sv-SE"/>
        </w:rPr>
        <w:t>highlight</w:t>
      </w:r>
      <w:r>
        <w:rPr>
          <w:rFonts w:ascii="Calibri" w:hAnsi="Calibri" w:cs="Calibri"/>
          <w:color w:val="auto"/>
          <w:sz w:val="22"/>
          <w:szCs w:val="22"/>
          <w:lang w:val="sv-SE"/>
        </w:rPr>
        <w:t>s</w:t>
      </w:r>
      <w:r w:rsidR="00901B6A">
        <w:rPr>
          <w:rFonts w:ascii="Calibri" w:hAnsi="Calibri" w:cs="Calibri"/>
          <w:color w:val="auto"/>
          <w:sz w:val="22"/>
          <w:szCs w:val="22"/>
          <w:lang w:val="sv-SE"/>
        </w:rPr>
        <w:t xml:space="preserve"> </w:t>
      </w:r>
      <w:r w:rsidR="00D42A91">
        <w:rPr>
          <w:rFonts w:ascii="Calibri" w:hAnsi="Calibri" w:cs="Calibri"/>
          <w:color w:val="auto"/>
          <w:sz w:val="22"/>
          <w:szCs w:val="22"/>
          <w:lang w:val="sv-SE"/>
        </w:rPr>
        <w:t xml:space="preserve">that </w:t>
      </w:r>
      <w:r w:rsidR="00D42A91" w:rsidRPr="00461E4D">
        <w:rPr>
          <w:rFonts w:ascii="Calibri" w:hAnsi="Calibri" w:cs="Calibri"/>
          <w:color w:val="auto"/>
          <w:sz w:val="22"/>
          <w:szCs w:val="22"/>
          <w:lang w:val="sv-SE"/>
        </w:rPr>
        <w:t xml:space="preserve">this may </w:t>
      </w:r>
      <w:r w:rsidR="00104DA3">
        <w:rPr>
          <w:rFonts w:ascii="Calibri" w:hAnsi="Calibri" w:cs="Calibri"/>
          <w:color w:val="auto"/>
          <w:sz w:val="22"/>
          <w:szCs w:val="22"/>
          <w:lang w:val="sv-SE"/>
        </w:rPr>
        <w:t xml:space="preserve">still </w:t>
      </w:r>
      <w:r w:rsidR="00D42A91" w:rsidRPr="00461E4D">
        <w:rPr>
          <w:rFonts w:ascii="Calibri" w:hAnsi="Calibri" w:cs="Calibri"/>
          <w:color w:val="auto"/>
          <w:sz w:val="22"/>
          <w:szCs w:val="22"/>
          <w:lang w:val="sv-SE"/>
        </w:rPr>
        <w:t xml:space="preserve">result in interference </w:t>
      </w:r>
      <w:r w:rsidR="00104DA3">
        <w:rPr>
          <w:rFonts w:ascii="Calibri" w:hAnsi="Calibri" w:cs="Calibri"/>
          <w:color w:val="auto"/>
          <w:sz w:val="22"/>
          <w:szCs w:val="22"/>
          <w:lang w:val="sv-SE"/>
        </w:rPr>
        <w:t>to</w:t>
      </w:r>
      <w:r w:rsidR="00D42A91" w:rsidRPr="00461E4D">
        <w:rPr>
          <w:rFonts w:ascii="Calibri" w:hAnsi="Calibri" w:cs="Calibri"/>
          <w:color w:val="auto"/>
          <w:sz w:val="22"/>
          <w:szCs w:val="22"/>
          <w:lang w:val="sv-SE"/>
        </w:rPr>
        <w:t xml:space="preserve"> MFCN BS</w:t>
      </w:r>
      <w:r w:rsidR="00A667B1">
        <w:rPr>
          <w:rFonts w:ascii="Calibri" w:hAnsi="Calibri" w:cs="Calibri"/>
          <w:color w:val="auto"/>
          <w:sz w:val="22"/>
          <w:szCs w:val="22"/>
          <w:lang w:val="sv-SE"/>
        </w:rPr>
        <w:t>s</w:t>
      </w:r>
      <w:r w:rsidR="00D42A91" w:rsidRPr="00461E4D">
        <w:rPr>
          <w:rFonts w:ascii="Calibri" w:hAnsi="Calibri" w:cs="Calibri"/>
          <w:color w:val="auto"/>
          <w:sz w:val="22"/>
          <w:szCs w:val="22"/>
          <w:lang w:val="sv-SE"/>
        </w:rPr>
        <w:t xml:space="preserve"> located near an FRMCS radio site</w:t>
      </w:r>
      <w:r>
        <w:rPr>
          <w:rFonts w:ascii="Calibri" w:hAnsi="Calibri" w:cs="Calibri"/>
          <w:color w:val="auto"/>
          <w:sz w:val="22"/>
          <w:szCs w:val="22"/>
          <w:lang w:val="sv-SE"/>
        </w:rPr>
        <w:t>. T</w:t>
      </w:r>
      <w:r w:rsidR="002D5DDF">
        <w:rPr>
          <w:rFonts w:ascii="Calibri" w:hAnsi="Calibri" w:cs="Calibri"/>
          <w:color w:val="auto"/>
          <w:sz w:val="22"/>
          <w:szCs w:val="22"/>
          <w:lang w:val="sv-SE"/>
        </w:rPr>
        <w:t xml:space="preserve">o solve this, </w:t>
      </w:r>
      <w:r w:rsidR="00901B6A">
        <w:rPr>
          <w:rFonts w:ascii="Calibri" w:hAnsi="Calibri" w:cs="Calibri"/>
          <w:color w:val="auto"/>
          <w:sz w:val="22"/>
          <w:szCs w:val="22"/>
          <w:lang w:val="sv-SE"/>
        </w:rPr>
        <w:t>CEPT</w:t>
      </w:r>
      <w:r>
        <w:rPr>
          <w:rFonts w:ascii="Calibri" w:hAnsi="Calibri" w:cs="Calibri"/>
          <w:color w:val="auto"/>
          <w:sz w:val="22"/>
          <w:szCs w:val="22"/>
          <w:lang w:val="sv-SE"/>
        </w:rPr>
        <w:t xml:space="preserve"> </w:t>
      </w:r>
      <w:r w:rsidR="003C6005">
        <w:rPr>
          <w:rFonts w:ascii="Calibri" w:hAnsi="Calibri" w:cs="Calibri"/>
          <w:color w:val="auto"/>
          <w:sz w:val="22"/>
          <w:szCs w:val="22"/>
          <w:lang w:val="sv-SE"/>
        </w:rPr>
        <w:t>propose</w:t>
      </w:r>
      <w:r w:rsidR="00901B6A">
        <w:rPr>
          <w:rFonts w:ascii="Calibri" w:hAnsi="Calibri" w:cs="Calibri"/>
          <w:color w:val="auto"/>
          <w:sz w:val="22"/>
          <w:szCs w:val="22"/>
          <w:lang w:val="sv-SE"/>
        </w:rPr>
        <w:t>s</w:t>
      </w:r>
      <w:r w:rsidR="003C6005">
        <w:rPr>
          <w:rFonts w:ascii="Calibri" w:hAnsi="Calibri" w:cs="Calibri"/>
          <w:color w:val="auto"/>
          <w:sz w:val="22"/>
          <w:szCs w:val="22"/>
          <w:lang w:val="sv-SE"/>
        </w:rPr>
        <w:t xml:space="preserve"> to coordinate </w:t>
      </w:r>
      <w:r w:rsidR="000821DC">
        <w:rPr>
          <w:rFonts w:ascii="Calibri" w:hAnsi="Calibri" w:cs="Calibri"/>
          <w:color w:val="auto"/>
          <w:sz w:val="22"/>
          <w:szCs w:val="22"/>
          <w:lang w:val="sv-SE"/>
        </w:rPr>
        <w:t xml:space="preserve">FRMCS </w:t>
      </w:r>
      <w:r w:rsidR="003C6005">
        <w:rPr>
          <w:rFonts w:ascii="Calibri" w:hAnsi="Calibri" w:cs="Calibri"/>
          <w:color w:val="auto"/>
          <w:sz w:val="22"/>
          <w:szCs w:val="22"/>
          <w:lang w:val="sv-SE"/>
        </w:rPr>
        <w:t>deployment</w:t>
      </w:r>
      <w:r w:rsidR="00197D30">
        <w:rPr>
          <w:rFonts w:ascii="Calibri" w:hAnsi="Calibri" w:cs="Calibri"/>
          <w:color w:val="auto"/>
          <w:sz w:val="22"/>
          <w:szCs w:val="22"/>
          <w:lang w:val="sv-SE"/>
        </w:rPr>
        <w:t xml:space="preserve"> or, to</w:t>
      </w:r>
      <w:r w:rsidR="000821DC">
        <w:rPr>
          <w:rFonts w:ascii="Calibri" w:hAnsi="Calibri" w:cs="Calibri"/>
          <w:color w:val="auto"/>
          <w:sz w:val="22"/>
          <w:szCs w:val="22"/>
          <w:lang w:val="sv-SE"/>
        </w:rPr>
        <w:t xml:space="preserve"> </w:t>
      </w:r>
      <w:r w:rsidR="001D4C5B">
        <w:rPr>
          <w:rFonts w:ascii="Calibri" w:hAnsi="Calibri" w:cs="Calibri"/>
          <w:color w:val="auto"/>
          <w:sz w:val="22"/>
          <w:szCs w:val="22"/>
          <w:lang w:val="sv-SE"/>
        </w:rPr>
        <w:t xml:space="preserve">facilitate FRMCS deployment, consider </w:t>
      </w:r>
      <w:r w:rsidR="00FF3FBF">
        <w:rPr>
          <w:rFonts w:ascii="Calibri" w:hAnsi="Calibri" w:cs="Calibri"/>
          <w:color w:val="auto"/>
          <w:sz w:val="22"/>
          <w:szCs w:val="22"/>
          <w:lang w:val="sv-SE"/>
        </w:rPr>
        <w:t xml:space="preserve">implementing </w:t>
      </w:r>
      <w:r w:rsidR="001D4C5B">
        <w:rPr>
          <w:rFonts w:ascii="Calibri" w:hAnsi="Calibri" w:cs="Calibri"/>
          <w:color w:val="auto"/>
          <w:sz w:val="22"/>
          <w:szCs w:val="22"/>
          <w:lang w:val="sv-SE"/>
        </w:rPr>
        <w:t>mitigation techniques</w:t>
      </w:r>
      <w:r w:rsidR="00FF3FBF">
        <w:rPr>
          <w:rFonts w:ascii="Calibri" w:hAnsi="Calibri" w:cs="Calibri"/>
          <w:color w:val="auto"/>
          <w:sz w:val="22"/>
          <w:szCs w:val="22"/>
          <w:lang w:val="sv-SE"/>
        </w:rPr>
        <w:t>, knowing they might not address all situations</w:t>
      </w:r>
      <w:r w:rsidR="00957F72">
        <w:rPr>
          <w:rFonts w:ascii="Calibri" w:hAnsi="Calibri" w:cs="Calibri"/>
          <w:color w:val="auto"/>
          <w:sz w:val="22"/>
          <w:szCs w:val="22"/>
          <w:lang w:val="sv-SE"/>
        </w:rPr>
        <w:t xml:space="preserve">. </w:t>
      </w:r>
      <w:r w:rsidR="004C0572">
        <w:rPr>
          <w:rFonts w:ascii="Calibri" w:hAnsi="Calibri" w:cs="Calibri"/>
          <w:color w:val="auto"/>
          <w:sz w:val="22"/>
          <w:szCs w:val="22"/>
          <w:lang w:val="sv-SE"/>
        </w:rPr>
        <w:t xml:space="preserve">To solve this, </w:t>
      </w:r>
      <w:r w:rsidR="00957F72">
        <w:rPr>
          <w:rFonts w:ascii="Calibri" w:hAnsi="Calibri" w:cs="Calibri"/>
          <w:color w:val="auto"/>
          <w:sz w:val="22"/>
          <w:szCs w:val="22"/>
          <w:lang w:val="sv-SE"/>
        </w:rPr>
        <w:t xml:space="preserve">CEPT </w:t>
      </w:r>
      <w:r w:rsidR="004C0572">
        <w:rPr>
          <w:rFonts w:ascii="Calibri" w:hAnsi="Calibri" w:cs="Calibri"/>
          <w:color w:val="auto"/>
          <w:sz w:val="22"/>
          <w:szCs w:val="22"/>
          <w:lang w:val="sv-SE"/>
        </w:rPr>
        <w:t xml:space="preserve">Report </w:t>
      </w:r>
      <w:r w:rsidR="00957F72">
        <w:rPr>
          <w:rFonts w:ascii="Calibri" w:hAnsi="Calibri" w:cs="Calibri"/>
          <w:color w:val="auto"/>
          <w:sz w:val="22"/>
          <w:szCs w:val="22"/>
          <w:lang w:val="sv-SE"/>
        </w:rPr>
        <w:t>recommends then improv</w:t>
      </w:r>
      <w:r w:rsidR="004C0572">
        <w:rPr>
          <w:rFonts w:ascii="Calibri" w:hAnsi="Calibri" w:cs="Calibri"/>
          <w:color w:val="auto"/>
          <w:sz w:val="22"/>
          <w:szCs w:val="22"/>
          <w:lang w:val="sv-SE"/>
        </w:rPr>
        <w:t xml:space="preserve">ing </w:t>
      </w:r>
      <w:r w:rsidR="00D06AA5">
        <w:rPr>
          <w:rFonts w:ascii="Calibri" w:hAnsi="Calibri" w:cs="Calibri"/>
          <w:color w:val="auto"/>
          <w:sz w:val="22"/>
          <w:szCs w:val="22"/>
          <w:lang w:val="sv-SE"/>
        </w:rPr>
        <w:t xml:space="preserve">the </w:t>
      </w:r>
      <w:r w:rsidR="004C0572">
        <w:rPr>
          <w:rFonts w:ascii="Calibri" w:hAnsi="Calibri" w:cs="Calibri"/>
          <w:color w:val="auto"/>
          <w:sz w:val="22"/>
          <w:szCs w:val="22"/>
          <w:lang w:val="sv-SE"/>
        </w:rPr>
        <w:t>selectivity</w:t>
      </w:r>
      <w:r w:rsidR="00D06AA5">
        <w:rPr>
          <w:rFonts w:ascii="Calibri" w:hAnsi="Calibri" w:cs="Calibri"/>
          <w:color w:val="auto"/>
          <w:sz w:val="22"/>
          <w:szCs w:val="22"/>
          <w:lang w:val="sv-SE"/>
        </w:rPr>
        <w:t xml:space="preserve"> of the MFCN BS operating close by railtracks. </w:t>
      </w:r>
    </w:p>
    <w:p w14:paraId="19A1F60D" w14:textId="77777777" w:rsidR="00D42A91" w:rsidRDefault="00D42A91" w:rsidP="002A7A12">
      <w:pPr>
        <w:pStyle w:val="Default"/>
        <w:rPr>
          <w:rFonts w:ascii="Calibri" w:hAnsi="Calibri" w:cs="Calibri"/>
          <w:color w:val="auto"/>
          <w:sz w:val="22"/>
          <w:szCs w:val="22"/>
          <w:lang w:val="sv-SE"/>
        </w:rPr>
      </w:pPr>
    </w:p>
    <w:p w14:paraId="1DBB9179" w14:textId="77777777" w:rsidR="001832B8" w:rsidRDefault="00282722" w:rsidP="002A7A12">
      <w:pPr>
        <w:pStyle w:val="Default"/>
        <w:rPr>
          <w:rFonts w:ascii="Calibri" w:hAnsi="Calibri" w:cs="Calibri"/>
          <w:color w:val="auto"/>
          <w:sz w:val="22"/>
          <w:szCs w:val="22"/>
          <w:lang w:val="sv-SE"/>
        </w:rPr>
      </w:pPr>
      <w:r>
        <w:rPr>
          <w:rFonts w:ascii="Calibri" w:hAnsi="Calibri" w:cs="Calibri"/>
          <w:color w:val="auto"/>
          <w:sz w:val="22"/>
          <w:szCs w:val="22"/>
          <w:lang w:val="sv-SE"/>
        </w:rPr>
        <w:t>Th</w:t>
      </w:r>
      <w:r w:rsidR="000A4F5B">
        <w:rPr>
          <w:rFonts w:ascii="Calibri" w:hAnsi="Calibri" w:cs="Calibri"/>
          <w:color w:val="auto"/>
          <w:sz w:val="22"/>
          <w:szCs w:val="22"/>
          <w:lang w:val="sv-SE"/>
        </w:rPr>
        <w:t>e</w:t>
      </w:r>
      <w:r>
        <w:rPr>
          <w:rFonts w:ascii="Calibri" w:hAnsi="Calibri" w:cs="Calibri"/>
          <w:color w:val="auto"/>
          <w:sz w:val="22"/>
          <w:szCs w:val="22"/>
          <w:lang w:val="sv-SE"/>
        </w:rPr>
        <w:t xml:space="preserve"> </w:t>
      </w:r>
      <w:r w:rsidR="000A4F5B">
        <w:rPr>
          <w:rFonts w:ascii="Calibri" w:hAnsi="Calibri" w:cs="Calibri"/>
          <w:color w:val="auto"/>
          <w:sz w:val="22"/>
          <w:szCs w:val="22"/>
          <w:lang w:val="sv-SE"/>
        </w:rPr>
        <w:t xml:space="preserve">MFCN BS </w:t>
      </w:r>
      <w:r w:rsidR="00B251D1">
        <w:rPr>
          <w:rFonts w:ascii="Calibri" w:hAnsi="Calibri" w:cs="Calibri"/>
          <w:color w:val="auto"/>
          <w:sz w:val="22"/>
          <w:szCs w:val="22"/>
          <w:lang w:val="sv-SE"/>
        </w:rPr>
        <w:t xml:space="preserve">enhanced selectivity </w:t>
      </w:r>
      <w:r>
        <w:rPr>
          <w:rFonts w:ascii="Calibri" w:hAnsi="Calibri" w:cs="Calibri"/>
          <w:color w:val="auto"/>
          <w:sz w:val="22"/>
          <w:szCs w:val="22"/>
          <w:lang w:val="sv-SE"/>
        </w:rPr>
        <w:t xml:space="preserve">assumption was </w:t>
      </w:r>
      <w:r w:rsidR="001545D6">
        <w:rPr>
          <w:rFonts w:ascii="Calibri" w:hAnsi="Calibri" w:cs="Calibri"/>
          <w:color w:val="auto"/>
          <w:sz w:val="22"/>
          <w:szCs w:val="22"/>
          <w:lang w:val="sv-SE"/>
        </w:rPr>
        <w:t>extensively</w:t>
      </w:r>
      <w:r>
        <w:rPr>
          <w:rFonts w:ascii="Calibri" w:hAnsi="Calibri" w:cs="Calibri"/>
          <w:color w:val="auto"/>
          <w:sz w:val="22"/>
          <w:szCs w:val="22"/>
          <w:lang w:val="sv-SE"/>
        </w:rPr>
        <w:t xml:space="preserve"> debated in CEPT</w:t>
      </w:r>
      <w:r w:rsidR="00372C2A">
        <w:rPr>
          <w:rFonts w:ascii="Calibri" w:hAnsi="Calibri" w:cs="Calibri"/>
          <w:color w:val="auto"/>
          <w:sz w:val="22"/>
          <w:szCs w:val="22"/>
          <w:lang w:val="sv-SE"/>
        </w:rPr>
        <w:t>.</w:t>
      </w:r>
      <w:r w:rsidR="000876D7">
        <w:rPr>
          <w:rFonts w:ascii="Calibri" w:hAnsi="Calibri" w:cs="Calibri"/>
          <w:color w:val="auto"/>
          <w:sz w:val="22"/>
          <w:szCs w:val="22"/>
          <w:lang w:val="sv-SE"/>
        </w:rPr>
        <w:t xml:space="preserve"> </w:t>
      </w:r>
      <w:r w:rsidR="004E2BD2">
        <w:rPr>
          <w:rFonts w:ascii="Calibri" w:hAnsi="Calibri" w:cs="Calibri"/>
          <w:color w:val="auto"/>
          <w:sz w:val="22"/>
          <w:szCs w:val="22"/>
          <w:lang w:val="sv-SE"/>
        </w:rPr>
        <w:t xml:space="preserve">Some </w:t>
      </w:r>
      <w:r w:rsidR="000876D7">
        <w:rPr>
          <w:rFonts w:ascii="Calibri" w:hAnsi="Calibri" w:cs="Calibri"/>
          <w:color w:val="auto"/>
          <w:sz w:val="22"/>
          <w:szCs w:val="22"/>
          <w:lang w:val="sv-SE"/>
        </w:rPr>
        <w:t xml:space="preserve">BS manufacturers and operators argued </w:t>
      </w:r>
      <w:r w:rsidR="0031117B">
        <w:rPr>
          <w:rFonts w:ascii="Calibri" w:hAnsi="Calibri" w:cs="Calibri"/>
          <w:color w:val="auto"/>
          <w:sz w:val="22"/>
          <w:szCs w:val="22"/>
          <w:lang w:val="sv-SE"/>
        </w:rPr>
        <w:t xml:space="preserve">that </w:t>
      </w:r>
      <w:r w:rsidR="001545D6">
        <w:rPr>
          <w:rFonts w:ascii="Calibri" w:hAnsi="Calibri" w:cs="Calibri"/>
          <w:color w:val="auto"/>
          <w:sz w:val="22"/>
          <w:szCs w:val="22"/>
          <w:lang w:val="sv-SE"/>
        </w:rPr>
        <w:t xml:space="preserve">the considered selectivity </w:t>
      </w:r>
      <w:r w:rsidR="00372C2A">
        <w:rPr>
          <w:rFonts w:ascii="Calibri" w:hAnsi="Calibri" w:cs="Calibri"/>
          <w:color w:val="auto"/>
          <w:sz w:val="22"/>
          <w:szCs w:val="22"/>
          <w:lang w:val="sv-SE"/>
        </w:rPr>
        <w:t xml:space="preserve">was too high and would </w:t>
      </w:r>
      <w:r w:rsidR="00203675">
        <w:rPr>
          <w:rFonts w:ascii="Calibri" w:hAnsi="Calibri" w:cs="Calibri"/>
          <w:color w:val="auto"/>
          <w:sz w:val="22"/>
          <w:szCs w:val="22"/>
          <w:lang w:val="sv-SE"/>
        </w:rPr>
        <w:t xml:space="preserve">have </w:t>
      </w:r>
      <w:r w:rsidR="00372C2A">
        <w:rPr>
          <w:rFonts w:ascii="Calibri" w:hAnsi="Calibri" w:cs="Calibri"/>
          <w:color w:val="auto"/>
          <w:sz w:val="22"/>
          <w:szCs w:val="22"/>
          <w:lang w:val="sv-SE"/>
        </w:rPr>
        <w:t>impact</w:t>
      </w:r>
      <w:r w:rsidR="00203675">
        <w:rPr>
          <w:rFonts w:ascii="Calibri" w:hAnsi="Calibri" w:cs="Calibri"/>
          <w:color w:val="auto"/>
          <w:sz w:val="22"/>
          <w:szCs w:val="22"/>
          <w:lang w:val="sv-SE"/>
        </w:rPr>
        <w:t>s on</w:t>
      </w:r>
      <w:r w:rsidR="00372C2A">
        <w:rPr>
          <w:rFonts w:ascii="Calibri" w:hAnsi="Calibri" w:cs="Calibri"/>
          <w:color w:val="auto"/>
          <w:sz w:val="22"/>
          <w:szCs w:val="22"/>
          <w:lang w:val="sv-SE"/>
        </w:rPr>
        <w:t xml:space="preserve"> products</w:t>
      </w:r>
      <w:r w:rsidR="00203675">
        <w:rPr>
          <w:rFonts w:ascii="Calibri" w:hAnsi="Calibri" w:cs="Calibri"/>
          <w:color w:val="auto"/>
          <w:sz w:val="22"/>
          <w:szCs w:val="22"/>
          <w:lang w:val="sv-SE"/>
        </w:rPr>
        <w:t xml:space="preserve"> design</w:t>
      </w:r>
      <w:r w:rsidR="001832B8">
        <w:rPr>
          <w:rFonts w:ascii="Calibri" w:hAnsi="Calibri" w:cs="Calibri"/>
          <w:color w:val="auto"/>
          <w:sz w:val="22"/>
          <w:szCs w:val="22"/>
          <w:lang w:val="sv-SE"/>
        </w:rPr>
        <w:t>/</w:t>
      </w:r>
      <w:r w:rsidR="00203675">
        <w:rPr>
          <w:rFonts w:ascii="Calibri" w:hAnsi="Calibri" w:cs="Calibri"/>
          <w:color w:val="auto"/>
          <w:sz w:val="22"/>
          <w:szCs w:val="22"/>
          <w:lang w:val="sv-SE"/>
        </w:rPr>
        <w:t>cost</w:t>
      </w:r>
      <w:r w:rsidR="00B044E2">
        <w:rPr>
          <w:rFonts w:ascii="Calibri" w:hAnsi="Calibri" w:cs="Calibri"/>
          <w:color w:val="auto"/>
          <w:sz w:val="22"/>
          <w:szCs w:val="22"/>
          <w:lang w:val="sv-SE"/>
        </w:rPr>
        <w:t xml:space="preserve">. </w:t>
      </w:r>
    </w:p>
    <w:p w14:paraId="0DB3264C" w14:textId="77777777" w:rsidR="001832B8" w:rsidRDefault="001832B8" w:rsidP="002A7A12">
      <w:pPr>
        <w:pStyle w:val="Default"/>
        <w:rPr>
          <w:rFonts w:ascii="Calibri" w:hAnsi="Calibri" w:cs="Calibri"/>
          <w:color w:val="auto"/>
          <w:sz w:val="22"/>
          <w:szCs w:val="22"/>
          <w:lang w:val="sv-SE"/>
        </w:rPr>
      </w:pPr>
    </w:p>
    <w:p w14:paraId="271661AF" w14:textId="7DB89CB9" w:rsidR="002A7A12" w:rsidRPr="00461E4D" w:rsidRDefault="00203675" w:rsidP="002A7A12">
      <w:pPr>
        <w:pStyle w:val="Default"/>
        <w:rPr>
          <w:rFonts w:ascii="Calibri" w:hAnsi="Calibri" w:cs="Calibri"/>
          <w:color w:val="auto"/>
          <w:sz w:val="22"/>
          <w:szCs w:val="22"/>
          <w:lang w:val="sv-SE"/>
        </w:rPr>
      </w:pPr>
      <w:r>
        <w:rPr>
          <w:rFonts w:ascii="Calibri" w:hAnsi="Calibri" w:cs="Calibri"/>
          <w:color w:val="auto"/>
          <w:sz w:val="22"/>
          <w:szCs w:val="22"/>
          <w:lang w:val="sv-SE"/>
        </w:rPr>
        <w:t>Nevertheless,</w:t>
      </w:r>
      <w:r w:rsidR="00B044E2">
        <w:rPr>
          <w:rFonts w:ascii="Calibri" w:hAnsi="Calibri" w:cs="Calibri"/>
          <w:color w:val="auto"/>
          <w:sz w:val="22"/>
          <w:szCs w:val="22"/>
          <w:lang w:val="sv-SE"/>
        </w:rPr>
        <w:t xml:space="preserve"> </w:t>
      </w:r>
      <w:r w:rsidR="006E15CC">
        <w:rPr>
          <w:rFonts w:ascii="Calibri" w:hAnsi="Calibri" w:cs="Calibri"/>
          <w:color w:val="auto"/>
          <w:sz w:val="22"/>
          <w:szCs w:val="22"/>
          <w:lang w:val="sv-SE"/>
        </w:rPr>
        <w:t xml:space="preserve">CEPT </w:t>
      </w:r>
      <w:r w:rsidR="00B044E2">
        <w:rPr>
          <w:rFonts w:ascii="Calibri" w:hAnsi="Calibri" w:cs="Calibri"/>
          <w:color w:val="auto"/>
          <w:sz w:val="22"/>
          <w:szCs w:val="22"/>
          <w:lang w:val="sv-SE"/>
        </w:rPr>
        <w:t xml:space="preserve">Administrations </w:t>
      </w:r>
      <w:r w:rsidR="006E15CC">
        <w:rPr>
          <w:rFonts w:ascii="Calibri" w:hAnsi="Calibri" w:cs="Calibri"/>
          <w:color w:val="auto"/>
          <w:sz w:val="22"/>
          <w:szCs w:val="22"/>
          <w:lang w:val="sv-SE"/>
        </w:rPr>
        <w:t xml:space="preserve">confirmed this assumption and used it to </w:t>
      </w:r>
      <w:r w:rsidR="007D554C">
        <w:rPr>
          <w:rFonts w:ascii="Calibri" w:hAnsi="Calibri" w:cs="Calibri"/>
          <w:color w:val="auto"/>
          <w:sz w:val="22"/>
          <w:szCs w:val="22"/>
          <w:lang w:val="sv-SE"/>
        </w:rPr>
        <w:t xml:space="preserve">elaborate </w:t>
      </w:r>
      <w:r w:rsidR="006E15CC">
        <w:rPr>
          <w:rFonts w:ascii="Calibri" w:hAnsi="Calibri" w:cs="Calibri"/>
          <w:color w:val="auto"/>
          <w:sz w:val="22"/>
          <w:szCs w:val="22"/>
          <w:lang w:val="sv-SE"/>
        </w:rPr>
        <w:t xml:space="preserve">the </w:t>
      </w:r>
      <w:r w:rsidR="009E3859">
        <w:rPr>
          <w:rFonts w:ascii="Calibri" w:hAnsi="Calibri" w:cs="Calibri"/>
          <w:color w:val="auto"/>
          <w:sz w:val="22"/>
          <w:szCs w:val="22"/>
          <w:lang w:val="sv-SE"/>
        </w:rPr>
        <w:t>ECC Dec</w:t>
      </w:r>
      <w:r w:rsidR="005B4D6A">
        <w:rPr>
          <w:rFonts w:ascii="Calibri" w:hAnsi="Calibri" w:cs="Calibri"/>
          <w:color w:val="auto"/>
          <w:sz w:val="22"/>
          <w:szCs w:val="22"/>
          <w:lang w:val="sv-SE"/>
        </w:rPr>
        <w:t>i</w:t>
      </w:r>
      <w:r w:rsidR="009E3859">
        <w:rPr>
          <w:rFonts w:ascii="Calibri" w:hAnsi="Calibri" w:cs="Calibri"/>
          <w:color w:val="auto"/>
          <w:sz w:val="22"/>
          <w:szCs w:val="22"/>
          <w:lang w:val="sv-SE"/>
        </w:rPr>
        <w:t xml:space="preserve">sion </w:t>
      </w:r>
      <w:r w:rsidR="00FA77EC">
        <w:rPr>
          <w:rFonts w:ascii="Calibri" w:hAnsi="Calibri" w:cs="Calibri"/>
          <w:color w:val="auto"/>
          <w:sz w:val="22"/>
          <w:szCs w:val="22"/>
          <w:lang w:val="sv-SE"/>
        </w:rPr>
        <w:t>specifying</w:t>
      </w:r>
      <w:r w:rsidR="005B4D6A">
        <w:rPr>
          <w:rFonts w:ascii="Calibri" w:hAnsi="Calibri" w:cs="Calibri"/>
          <w:color w:val="auto"/>
          <w:sz w:val="22"/>
          <w:szCs w:val="22"/>
          <w:lang w:val="sv-SE"/>
        </w:rPr>
        <w:t xml:space="preserve"> the</w:t>
      </w:r>
      <w:r w:rsidR="004856E5">
        <w:rPr>
          <w:rFonts w:ascii="Calibri" w:hAnsi="Calibri" w:cs="Calibri"/>
          <w:color w:val="auto"/>
          <w:sz w:val="22"/>
          <w:szCs w:val="22"/>
          <w:lang w:val="sv-SE"/>
        </w:rPr>
        <w:t xml:space="preserve"> </w:t>
      </w:r>
      <w:r w:rsidR="007D554C">
        <w:rPr>
          <w:rFonts w:ascii="Calibri" w:hAnsi="Calibri" w:cs="Calibri"/>
          <w:color w:val="auto"/>
          <w:sz w:val="22"/>
          <w:szCs w:val="22"/>
          <w:lang w:val="sv-SE"/>
        </w:rPr>
        <w:t>FRMCS techn</w:t>
      </w:r>
      <w:r w:rsidR="009E3859">
        <w:rPr>
          <w:rFonts w:ascii="Calibri" w:hAnsi="Calibri" w:cs="Calibri"/>
          <w:color w:val="auto"/>
          <w:sz w:val="22"/>
          <w:szCs w:val="22"/>
          <w:lang w:val="sv-SE"/>
        </w:rPr>
        <w:t>i</w:t>
      </w:r>
      <w:r w:rsidR="007D554C">
        <w:rPr>
          <w:rFonts w:ascii="Calibri" w:hAnsi="Calibri" w:cs="Calibri"/>
          <w:color w:val="auto"/>
          <w:sz w:val="22"/>
          <w:szCs w:val="22"/>
          <w:lang w:val="sv-SE"/>
        </w:rPr>
        <w:t xml:space="preserve">cal </w:t>
      </w:r>
      <w:r w:rsidR="005B4D6A">
        <w:rPr>
          <w:rFonts w:ascii="Calibri" w:hAnsi="Calibri" w:cs="Calibri"/>
          <w:color w:val="auto"/>
          <w:sz w:val="22"/>
          <w:szCs w:val="22"/>
          <w:lang w:val="sv-SE"/>
        </w:rPr>
        <w:t>conditions</w:t>
      </w:r>
      <w:r w:rsidR="007D554C">
        <w:rPr>
          <w:rFonts w:ascii="Calibri" w:hAnsi="Calibri" w:cs="Calibri"/>
          <w:color w:val="auto"/>
          <w:sz w:val="22"/>
          <w:szCs w:val="22"/>
          <w:lang w:val="sv-SE"/>
        </w:rPr>
        <w:t>.</w:t>
      </w:r>
    </w:p>
    <w:p w14:paraId="7615FD44" w14:textId="77777777" w:rsidR="008E5084" w:rsidRDefault="008E5084" w:rsidP="002A7A12">
      <w:pPr>
        <w:pStyle w:val="Default"/>
        <w:rPr>
          <w:rFonts w:ascii="Calibri" w:hAnsi="Calibri" w:cs="Calibri"/>
          <w:color w:val="auto"/>
          <w:sz w:val="22"/>
          <w:szCs w:val="22"/>
          <w:lang w:val="sv-SE"/>
        </w:rPr>
      </w:pPr>
    </w:p>
    <w:p w14:paraId="39FF8843" w14:textId="206A2A24" w:rsidR="00B251D1" w:rsidRPr="00461E4D" w:rsidRDefault="00B251D1" w:rsidP="002A7A12">
      <w:pPr>
        <w:pStyle w:val="Default"/>
        <w:rPr>
          <w:rFonts w:ascii="Calibri" w:hAnsi="Calibri" w:cs="Calibri"/>
          <w:color w:val="auto"/>
          <w:sz w:val="22"/>
          <w:szCs w:val="22"/>
          <w:lang w:val="sv-SE"/>
        </w:rPr>
      </w:pPr>
      <w:r>
        <w:rPr>
          <w:rFonts w:ascii="Calibri" w:hAnsi="Calibri" w:cs="Calibri"/>
          <w:color w:val="auto"/>
          <w:sz w:val="22"/>
          <w:szCs w:val="22"/>
          <w:lang w:val="sv-SE"/>
        </w:rPr>
        <w:t xml:space="preserve">The following table compares the </w:t>
      </w:r>
      <w:r w:rsidR="0009168E">
        <w:rPr>
          <w:rFonts w:ascii="Calibri" w:hAnsi="Calibri" w:cs="Calibri"/>
          <w:color w:val="auto"/>
          <w:sz w:val="22"/>
          <w:szCs w:val="22"/>
          <w:lang w:val="sv-SE"/>
        </w:rPr>
        <w:t xml:space="preserve">enhanced selectitvity </w:t>
      </w:r>
      <w:r w:rsidR="00BE03DB">
        <w:rPr>
          <w:rFonts w:ascii="Calibri" w:hAnsi="Calibri" w:cs="Calibri"/>
          <w:color w:val="auto"/>
          <w:sz w:val="22"/>
          <w:szCs w:val="22"/>
          <w:lang w:val="sv-SE"/>
        </w:rPr>
        <w:t xml:space="preserve">assumed in ECC Report 318 </w:t>
      </w:r>
      <w:r w:rsidR="00D11AAE">
        <w:rPr>
          <w:rFonts w:ascii="Calibri" w:hAnsi="Calibri" w:cs="Calibri"/>
          <w:color w:val="auto"/>
          <w:sz w:val="22"/>
          <w:szCs w:val="22"/>
          <w:lang w:val="sv-SE"/>
        </w:rPr>
        <w:t>with</w:t>
      </w:r>
      <w:r w:rsidR="00BE03DB">
        <w:rPr>
          <w:rFonts w:ascii="Calibri" w:hAnsi="Calibri" w:cs="Calibri"/>
          <w:color w:val="auto"/>
          <w:sz w:val="22"/>
          <w:szCs w:val="22"/>
          <w:lang w:val="sv-SE"/>
        </w:rPr>
        <w:t xml:space="preserve"> TS 37.104 and CEPT Report 39.</w:t>
      </w:r>
    </w:p>
    <w:p w14:paraId="6B7D2155" w14:textId="075CAB48" w:rsidR="00082807" w:rsidRDefault="00082807" w:rsidP="00DC0E8D">
      <w:pPr>
        <w:pStyle w:val="Default"/>
        <w:ind w:left="568" w:firstLine="284"/>
        <w:rPr>
          <w:sz w:val="20"/>
          <w:szCs w:val="20"/>
        </w:rPr>
      </w:pPr>
      <w:r w:rsidRPr="00082807">
        <w:rPr>
          <w:noProof/>
          <w:sz w:val="20"/>
          <w:szCs w:val="20"/>
        </w:rPr>
        <w:drawing>
          <wp:inline distT="0" distB="0" distL="0" distR="0" wp14:anchorId="0923AB3F" wp14:editId="30F6157A">
            <wp:extent cx="4552950" cy="131871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564451" cy="1322050"/>
                    </a:xfrm>
                    <a:prstGeom prst="rect">
                      <a:avLst/>
                    </a:prstGeom>
                  </pic:spPr>
                </pic:pic>
              </a:graphicData>
            </a:graphic>
          </wp:inline>
        </w:drawing>
      </w:r>
    </w:p>
    <w:p w14:paraId="060E9617" w14:textId="77777777" w:rsidR="00082807" w:rsidRDefault="00082807" w:rsidP="002A7A12">
      <w:pPr>
        <w:pStyle w:val="Default"/>
        <w:rPr>
          <w:sz w:val="20"/>
          <w:szCs w:val="20"/>
        </w:rPr>
      </w:pPr>
    </w:p>
    <w:p w14:paraId="78BA5706" w14:textId="1E634C91" w:rsidR="00627AA4" w:rsidRPr="00627AA4" w:rsidRDefault="00627AA4" w:rsidP="00627AA4">
      <w:pPr>
        <w:pStyle w:val="Default"/>
        <w:rPr>
          <w:rFonts w:ascii="Calibri" w:hAnsi="Calibri" w:cs="Calibri"/>
          <w:b/>
          <w:bCs/>
          <w:color w:val="auto"/>
          <w:sz w:val="22"/>
          <w:szCs w:val="22"/>
          <w:lang w:val="sv-SE"/>
        </w:rPr>
      </w:pPr>
      <w:r w:rsidRPr="00627AA4">
        <w:rPr>
          <w:rFonts w:ascii="Calibri" w:hAnsi="Calibri" w:cs="Calibri"/>
          <w:b/>
          <w:bCs/>
          <w:color w:val="auto"/>
          <w:sz w:val="22"/>
          <w:szCs w:val="22"/>
          <w:lang w:val="sv-SE"/>
        </w:rPr>
        <w:t>Observation5: Despite the concern of BS manufacturers and operators, the CEPT Administrations decided to assume a</w:t>
      </w:r>
      <w:r w:rsidR="00FA77EC">
        <w:rPr>
          <w:rFonts w:ascii="Calibri" w:hAnsi="Calibri" w:cs="Calibri"/>
          <w:b/>
          <w:bCs/>
          <w:color w:val="auto"/>
          <w:sz w:val="22"/>
          <w:szCs w:val="22"/>
          <w:lang w:val="sv-SE"/>
        </w:rPr>
        <w:t xml:space="preserve"> considerable</w:t>
      </w:r>
      <w:r w:rsidRPr="00627AA4">
        <w:rPr>
          <w:rFonts w:ascii="Calibri" w:hAnsi="Calibri" w:cs="Calibri"/>
          <w:b/>
          <w:bCs/>
          <w:color w:val="auto"/>
          <w:sz w:val="22"/>
          <w:szCs w:val="22"/>
          <w:lang w:val="sv-SE"/>
        </w:rPr>
        <w:t xml:space="preserve"> </w:t>
      </w:r>
      <w:r w:rsidR="00FA77EC">
        <w:rPr>
          <w:rFonts w:ascii="Calibri" w:hAnsi="Calibri" w:cs="Calibri"/>
          <w:b/>
          <w:bCs/>
          <w:color w:val="auto"/>
          <w:sz w:val="22"/>
          <w:szCs w:val="22"/>
          <w:lang w:val="sv-SE"/>
        </w:rPr>
        <w:t>improvement</w:t>
      </w:r>
      <w:r w:rsidRPr="00627AA4">
        <w:rPr>
          <w:rFonts w:ascii="Calibri" w:hAnsi="Calibri" w:cs="Calibri"/>
          <w:b/>
          <w:bCs/>
          <w:color w:val="auto"/>
          <w:sz w:val="22"/>
          <w:szCs w:val="22"/>
          <w:lang w:val="sv-SE"/>
        </w:rPr>
        <w:t xml:space="preserve"> of MFCN BS selectivity (band n1)</w:t>
      </w:r>
      <w:r w:rsidR="00441CDD">
        <w:rPr>
          <w:rFonts w:ascii="Calibri" w:hAnsi="Calibri" w:cs="Calibri"/>
          <w:b/>
          <w:bCs/>
          <w:color w:val="auto"/>
          <w:sz w:val="22"/>
          <w:szCs w:val="22"/>
          <w:lang w:val="sv-SE"/>
        </w:rPr>
        <w:t xml:space="preserve"> when specifying FRMCS BS maximum EIRP</w:t>
      </w:r>
      <w:r w:rsidR="008259FE">
        <w:rPr>
          <w:rFonts w:ascii="Calibri" w:hAnsi="Calibri" w:cs="Calibri"/>
          <w:b/>
          <w:bCs/>
          <w:color w:val="auto"/>
          <w:sz w:val="22"/>
          <w:szCs w:val="22"/>
          <w:lang w:val="sv-SE"/>
        </w:rPr>
        <w:t xml:space="preserve"> for uncoordinated deployment</w:t>
      </w:r>
      <w:r w:rsidR="00441CDD">
        <w:rPr>
          <w:rFonts w:ascii="Calibri" w:hAnsi="Calibri" w:cs="Calibri"/>
          <w:b/>
          <w:bCs/>
          <w:color w:val="auto"/>
          <w:sz w:val="22"/>
          <w:szCs w:val="22"/>
          <w:lang w:val="sv-SE"/>
        </w:rPr>
        <w:t xml:space="preserve">. </w:t>
      </w:r>
    </w:p>
    <w:p w14:paraId="6B3F5C07" w14:textId="77777777" w:rsidR="00627AA4" w:rsidRDefault="00627AA4" w:rsidP="002A7A12">
      <w:pPr>
        <w:pStyle w:val="Default"/>
        <w:rPr>
          <w:rFonts w:ascii="Calibri" w:hAnsi="Calibri" w:cs="Calibri"/>
          <w:color w:val="auto"/>
          <w:sz w:val="22"/>
          <w:szCs w:val="22"/>
          <w:lang w:val="sv-SE"/>
        </w:rPr>
      </w:pPr>
    </w:p>
    <w:p w14:paraId="7C2FCA88" w14:textId="139FB064" w:rsidR="007E6C27" w:rsidRDefault="00C143FA" w:rsidP="002A7A12">
      <w:pPr>
        <w:pStyle w:val="Default"/>
        <w:rPr>
          <w:rFonts w:ascii="Calibri" w:hAnsi="Calibri" w:cs="Calibri"/>
          <w:color w:val="auto"/>
          <w:sz w:val="22"/>
          <w:szCs w:val="22"/>
          <w:lang w:val="sv-SE"/>
        </w:rPr>
      </w:pPr>
      <w:r>
        <w:rPr>
          <w:rFonts w:ascii="Calibri" w:hAnsi="Calibri" w:cs="Calibri"/>
          <w:color w:val="auto"/>
          <w:sz w:val="22"/>
          <w:szCs w:val="22"/>
          <w:lang w:val="sv-SE"/>
        </w:rPr>
        <w:t>In its executive summary, the report also mentions th</w:t>
      </w:r>
      <w:r w:rsidR="007E6C27">
        <w:rPr>
          <w:rFonts w:ascii="Calibri" w:hAnsi="Calibri" w:cs="Calibri"/>
          <w:color w:val="auto"/>
          <w:sz w:val="22"/>
          <w:szCs w:val="22"/>
          <w:lang w:val="sv-SE"/>
        </w:rPr>
        <w:t>e following:</w:t>
      </w:r>
    </w:p>
    <w:p w14:paraId="2A15071F" w14:textId="2D3FA29B" w:rsidR="002A7A12" w:rsidRPr="00461E4D" w:rsidRDefault="007E6C27" w:rsidP="002A7A12">
      <w:pPr>
        <w:pStyle w:val="Default"/>
        <w:rPr>
          <w:rFonts w:ascii="Calibri" w:hAnsi="Calibri" w:cs="Calibri"/>
          <w:color w:val="auto"/>
          <w:sz w:val="22"/>
          <w:szCs w:val="22"/>
          <w:lang w:val="sv-SE"/>
        </w:rPr>
      </w:pPr>
      <w:r>
        <w:rPr>
          <w:rFonts w:ascii="Calibri" w:hAnsi="Calibri" w:cs="Calibri"/>
          <w:color w:val="auto"/>
          <w:sz w:val="22"/>
          <w:szCs w:val="22"/>
          <w:lang w:val="sv-SE"/>
        </w:rPr>
        <w:t>”T</w:t>
      </w:r>
      <w:r w:rsidR="002A7A12" w:rsidRPr="00461E4D">
        <w:rPr>
          <w:rFonts w:ascii="Calibri" w:hAnsi="Calibri" w:cs="Calibri"/>
          <w:color w:val="auto"/>
          <w:sz w:val="22"/>
          <w:szCs w:val="22"/>
          <w:lang w:val="sv-SE"/>
        </w:rPr>
        <w:t xml:space="preserve">he technical feasibility for receiver selectivity enhancement for MFCN AAS BS may not be achievable due to design constraints. These high selectivity requirements might hinder the migration of MFCN networks to 5G/NR with AAS BS, however studies need to be carried out. </w:t>
      </w:r>
    </w:p>
    <w:p w14:paraId="03BF0070" w14:textId="61D57446" w:rsidR="002A7A12" w:rsidRDefault="002A7A12" w:rsidP="002A7A12">
      <w:pPr>
        <w:pStyle w:val="Default"/>
        <w:rPr>
          <w:rFonts w:ascii="Calibri" w:hAnsi="Calibri" w:cs="Calibri"/>
          <w:color w:val="auto"/>
          <w:sz w:val="22"/>
          <w:szCs w:val="22"/>
          <w:lang w:val="sv-SE"/>
        </w:rPr>
      </w:pPr>
      <w:r w:rsidRPr="00461E4D">
        <w:rPr>
          <w:rFonts w:ascii="Calibri" w:hAnsi="Calibri" w:cs="Calibri"/>
          <w:color w:val="auto"/>
          <w:sz w:val="22"/>
          <w:szCs w:val="22"/>
          <w:lang w:val="sv-SE"/>
        </w:rPr>
        <w:t>In order to ensure that the MFCN operators have enough time to adapt the relevant radio sites, the RMR operator is required to perform an early notification procedure in advance of the rollout of a new FRMCS BS.</w:t>
      </w:r>
      <w:r w:rsidR="007E6C27">
        <w:rPr>
          <w:rFonts w:ascii="Calibri" w:hAnsi="Calibri" w:cs="Calibri"/>
          <w:color w:val="auto"/>
          <w:sz w:val="22"/>
          <w:szCs w:val="22"/>
          <w:lang w:val="sv-SE"/>
        </w:rPr>
        <w:t>”</w:t>
      </w:r>
    </w:p>
    <w:p w14:paraId="7FC8B068" w14:textId="6847B21A" w:rsidR="00CE3FC8" w:rsidRDefault="00CE3FC8" w:rsidP="002A7A12">
      <w:pPr>
        <w:rPr>
          <w:rFonts w:ascii="Arial" w:hAnsi="Arial" w:cs="Arial"/>
          <w:color w:val="000000"/>
          <w:sz w:val="20"/>
          <w:szCs w:val="20"/>
        </w:rPr>
      </w:pPr>
    </w:p>
    <w:p w14:paraId="10CF64A6" w14:textId="4A050944" w:rsidR="005238F3" w:rsidRDefault="005238F3" w:rsidP="00690430">
      <w:pPr>
        <w:pStyle w:val="Heading3"/>
      </w:pPr>
      <w:r>
        <w:t>CEPT Report 74</w:t>
      </w:r>
      <w:r w:rsidR="00711EF2">
        <w:t xml:space="preserve"> (</w:t>
      </w:r>
      <w:r w:rsidR="00711EF2">
        <w:fldChar w:fldCharType="begin"/>
      </w:r>
      <w:r w:rsidR="00711EF2">
        <w:instrText xml:space="preserve"> REF _Ref157097506 \r \h </w:instrText>
      </w:r>
      <w:r w:rsidR="00711EF2">
        <w:fldChar w:fldCharType="separate"/>
      </w:r>
      <w:r w:rsidR="00E055EE">
        <w:t>[5]</w:t>
      </w:r>
      <w:r w:rsidR="00711EF2">
        <w:fldChar w:fldCharType="end"/>
      </w:r>
      <w:r w:rsidR="00711EF2">
        <w:t>)</w:t>
      </w:r>
    </w:p>
    <w:p w14:paraId="292FE718" w14:textId="6472DCC1" w:rsidR="009569B1" w:rsidRDefault="00957612" w:rsidP="00107FB5">
      <w:pPr>
        <w:rPr>
          <w:lang w:val="sv-SE"/>
        </w:rPr>
      </w:pPr>
      <w:r>
        <w:rPr>
          <w:lang w:val="sv-SE"/>
        </w:rPr>
        <w:t xml:space="preserve">This report answers tasks 1 to 4 of the EC Mandate. </w:t>
      </w:r>
      <w:r w:rsidR="005748A2">
        <w:rPr>
          <w:lang w:val="sv-SE"/>
        </w:rPr>
        <w:t xml:space="preserve">It was </w:t>
      </w:r>
      <w:r w:rsidR="00460283">
        <w:rPr>
          <w:lang w:val="sv-SE"/>
        </w:rPr>
        <w:t>written based on the ECC Reports 313, 314 and 318.</w:t>
      </w:r>
    </w:p>
    <w:p w14:paraId="094E286C" w14:textId="77777777" w:rsidR="00AE08C5" w:rsidRDefault="009569B1" w:rsidP="00AE08C5">
      <w:pPr>
        <w:tabs>
          <w:tab w:val="left" w:pos="4190"/>
        </w:tabs>
        <w:rPr>
          <w:lang w:val="sv-SE"/>
        </w:rPr>
      </w:pPr>
      <w:r>
        <w:rPr>
          <w:lang w:val="sv-SE"/>
        </w:rPr>
        <w:t xml:space="preserve">Only non-AAS FRMCS </w:t>
      </w:r>
      <w:r w:rsidR="001C405A">
        <w:rPr>
          <w:lang w:val="sv-SE"/>
        </w:rPr>
        <w:t>w</w:t>
      </w:r>
      <w:r>
        <w:rPr>
          <w:lang w:val="sv-SE"/>
        </w:rPr>
        <w:t>as considered.</w:t>
      </w:r>
    </w:p>
    <w:p w14:paraId="34D3E80D" w14:textId="18816896" w:rsidR="00107FB5" w:rsidRDefault="005A0527" w:rsidP="00AE08C5">
      <w:pPr>
        <w:tabs>
          <w:tab w:val="left" w:pos="4190"/>
        </w:tabs>
        <w:rPr>
          <w:lang w:val="sv-SE"/>
        </w:rPr>
      </w:pPr>
      <w:r>
        <w:rPr>
          <w:lang w:val="sv-SE"/>
        </w:rPr>
        <w:lastRenderedPageBreak/>
        <w:t>Regarding</w:t>
      </w:r>
      <w:r w:rsidR="00AE08C5">
        <w:rPr>
          <w:lang w:val="sv-SE"/>
        </w:rPr>
        <w:t xml:space="preserve"> task 3</w:t>
      </w:r>
      <w:r w:rsidR="00A74727">
        <w:rPr>
          <w:lang w:val="sv-SE"/>
        </w:rPr>
        <w:t>, CEPT concluded that the 1900-</w:t>
      </w:r>
      <w:r w:rsidR="006E67F5">
        <w:rPr>
          <w:lang w:val="sv-SE"/>
        </w:rPr>
        <w:t>1910</w:t>
      </w:r>
      <w:r w:rsidR="007E67FB">
        <w:rPr>
          <w:lang w:val="sv-SE"/>
        </w:rPr>
        <w:t xml:space="preserve"> </w:t>
      </w:r>
      <w:r w:rsidR="00254352">
        <w:rPr>
          <w:lang w:val="sv-SE"/>
        </w:rPr>
        <w:t>frequency band is feasible for FRMCS, provid</w:t>
      </w:r>
      <w:r w:rsidR="000116D0">
        <w:rPr>
          <w:lang w:val="sv-SE"/>
        </w:rPr>
        <w:t>ing</w:t>
      </w:r>
      <w:r w:rsidR="00254352">
        <w:rPr>
          <w:lang w:val="sv-SE"/>
        </w:rPr>
        <w:t xml:space="preserve"> that the following conditions are met: </w:t>
      </w:r>
    </w:p>
    <w:p w14:paraId="36DA7CFF" w14:textId="77777777" w:rsidR="004A07D1" w:rsidRPr="00EA79CE" w:rsidRDefault="00113108" w:rsidP="006C11B3">
      <w:pPr>
        <w:pStyle w:val="ListParagraph"/>
        <w:numPr>
          <w:ilvl w:val="0"/>
          <w:numId w:val="36"/>
        </w:numPr>
        <w:tabs>
          <w:tab w:val="left" w:pos="4190"/>
        </w:tabs>
        <w:ind w:firstLineChars="0"/>
        <w:rPr>
          <w:rFonts w:eastAsia="SimSun"/>
          <w:lang w:val="sv-SE"/>
        </w:rPr>
      </w:pPr>
      <w:r w:rsidRPr="00EA79CE">
        <w:rPr>
          <w:rFonts w:eastAsia="SimSun"/>
          <w:lang w:val="sv-SE"/>
        </w:rPr>
        <w:t xml:space="preserve">FRMCS BS shall ensure coexistence with ECS BS receiving above 1920 MHz while ensuring an efficient use of spectrum. </w:t>
      </w:r>
    </w:p>
    <w:p w14:paraId="25B39350" w14:textId="77777777" w:rsidR="00E53CA9" w:rsidRPr="00EA79CE" w:rsidRDefault="00113108" w:rsidP="004A07D1">
      <w:pPr>
        <w:pStyle w:val="ListParagraph"/>
        <w:tabs>
          <w:tab w:val="left" w:pos="4190"/>
        </w:tabs>
        <w:ind w:left="720" w:firstLineChars="0" w:firstLine="0"/>
        <w:rPr>
          <w:rFonts w:eastAsia="SimSun"/>
          <w:lang w:val="sv-SE"/>
        </w:rPr>
      </w:pPr>
      <w:r w:rsidRPr="00EA79CE">
        <w:rPr>
          <w:rFonts w:eastAsia="SimSun"/>
          <w:lang w:val="sv-SE"/>
        </w:rPr>
        <w:t>For uncoordinated deployment, the BEM for FRMCS BS will assume that ECS BS have enhanced selectivity compared to the current Harmonised European Standards</w:t>
      </w:r>
      <w:r w:rsidR="00E53CA9" w:rsidRPr="00EA79CE">
        <w:rPr>
          <w:rFonts w:eastAsia="SimSun"/>
          <w:lang w:val="sv-SE"/>
        </w:rPr>
        <w:t>:</w:t>
      </w:r>
    </w:p>
    <w:p w14:paraId="7EF1A2C0" w14:textId="3039561C" w:rsidR="00E53CA9" w:rsidRPr="00EA79CE" w:rsidRDefault="00113108" w:rsidP="00E53CA9">
      <w:pPr>
        <w:pStyle w:val="ListParagraph"/>
        <w:numPr>
          <w:ilvl w:val="1"/>
          <w:numId w:val="35"/>
        </w:numPr>
        <w:tabs>
          <w:tab w:val="left" w:pos="4190"/>
        </w:tabs>
        <w:ind w:firstLineChars="0"/>
        <w:rPr>
          <w:rFonts w:eastAsia="SimSun"/>
          <w:lang w:val="sv-SE"/>
        </w:rPr>
      </w:pPr>
      <w:r w:rsidRPr="00EA79CE">
        <w:rPr>
          <w:rFonts w:eastAsia="SimSun"/>
          <w:lang w:val="sv-SE"/>
        </w:rPr>
        <w:t xml:space="preserve"> Current ECS BS located near an FRMCS radio site may need to be adapted, in such a way that they do not suffer interference from FRMCS. In such case, additional mitigation techniques would be needed, such as the upgrade of the ECS BS selectivity or on a case-by-case basis adjustment of antenna directivity, azimuth, tilt, etc. of the FRMCS and/or ECS BS.</w:t>
      </w:r>
    </w:p>
    <w:p w14:paraId="7AD0AE5F" w14:textId="56E5FC08" w:rsidR="00072C38" w:rsidRPr="00EA79CE" w:rsidRDefault="00072C38" w:rsidP="00E53CA9">
      <w:pPr>
        <w:pStyle w:val="ListParagraph"/>
        <w:numPr>
          <w:ilvl w:val="1"/>
          <w:numId w:val="35"/>
        </w:numPr>
        <w:tabs>
          <w:tab w:val="left" w:pos="4190"/>
        </w:tabs>
        <w:ind w:firstLineChars="0"/>
        <w:rPr>
          <w:rFonts w:eastAsia="SimSun"/>
          <w:lang w:val="sv-SE"/>
        </w:rPr>
      </w:pPr>
      <w:r w:rsidRPr="00EA79CE">
        <w:rPr>
          <w:rFonts w:eastAsia="SimSun"/>
          <w:lang w:val="sv-SE"/>
        </w:rPr>
        <w:t>The improvement of the ECS selectivity for those ECS BS near the railway tracks can be achieved by either the usage of new radio units of ECS BS or by adding external filter to existing radio units operating with passive antenna systems. Enhanced selectivity should be included (potentially as a specific receiver class) in the relevant ECS BS Harmonised European Standards so that newly introduced products placed on the market based on this update natively fulfil this requirement.</w:t>
      </w:r>
    </w:p>
    <w:p w14:paraId="4CB4EA2B" w14:textId="5D1A41D6" w:rsidR="001837C5" w:rsidRPr="00EA79CE" w:rsidRDefault="002E6ECC" w:rsidP="00EA79CE">
      <w:pPr>
        <w:pStyle w:val="ListParagraph"/>
        <w:numPr>
          <w:ilvl w:val="1"/>
          <w:numId w:val="35"/>
        </w:numPr>
        <w:tabs>
          <w:tab w:val="left" w:pos="4190"/>
        </w:tabs>
        <w:ind w:firstLineChars="0"/>
        <w:rPr>
          <w:rFonts w:eastAsia="SimSun"/>
          <w:lang w:val="sv-SE"/>
        </w:rPr>
      </w:pPr>
      <w:r w:rsidRPr="00EA79CE">
        <w:rPr>
          <w:rFonts w:eastAsia="SimSun"/>
          <w:lang w:val="sv-SE"/>
        </w:rPr>
        <w:t>In order to ensure that the ECS operators have enough time to adapt the concerned radio sites, they should have, sufficiently far in advance, information on the rollout of a new FRMCS BS in 1900-1910 MHz.</w:t>
      </w:r>
    </w:p>
    <w:p w14:paraId="1EFD945F" w14:textId="1D25B677" w:rsidR="002E6ECC" w:rsidRPr="00EA79CE" w:rsidRDefault="002E6ECC" w:rsidP="00226787">
      <w:pPr>
        <w:pStyle w:val="ListParagraph"/>
        <w:tabs>
          <w:tab w:val="left" w:pos="4190"/>
        </w:tabs>
        <w:ind w:left="720" w:firstLineChars="0" w:firstLine="0"/>
        <w:rPr>
          <w:rFonts w:eastAsia="SimSun"/>
          <w:lang w:val="sv-SE"/>
        </w:rPr>
      </w:pPr>
      <w:r w:rsidRPr="00EA79CE">
        <w:rPr>
          <w:rFonts w:eastAsia="SimSun"/>
          <w:lang w:val="sv-SE"/>
        </w:rPr>
        <w:t>The BEM for FRMCS will include one channel of 10 MHz.</w:t>
      </w:r>
    </w:p>
    <w:p w14:paraId="4AD5C653" w14:textId="1292F696" w:rsidR="002E6ECC" w:rsidRPr="000F6054" w:rsidRDefault="002E6ECC" w:rsidP="006C11B3">
      <w:pPr>
        <w:pStyle w:val="ListParagraph"/>
        <w:numPr>
          <w:ilvl w:val="0"/>
          <w:numId w:val="36"/>
        </w:numPr>
        <w:tabs>
          <w:tab w:val="left" w:pos="4190"/>
        </w:tabs>
        <w:ind w:firstLineChars="0"/>
        <w:rPr>
          <w:rFonts w:eastAsia="SimSun"/>
          <w:lang w:val="sv-SE"/>
        </w:rPr>
      </w:pPr>
      <w:r w:rsidRPr="000F6054">
        <w:rPr>
          <w:rFonts w:eastAsia="SimSun"/>
          <w:lang w:val="sv-SE"/>
        </w:rPr>
        <w:t>FRMCS high-power cab-radios transmitting up to 31 dBm (output power) can be allowed in 1900-1910 MHz provided that UL power control is activated, and that FRM</w:t>
      </w:r>
      <w:r w:rsidR="00B6012F">
        <w:rPr>
          <w:rFonts w:eastAsia="SimSun"/>
          <w:lang w:val="sv-SE"/>
        </w:rPr>
        <w:t>C</w:t>
      </w:r>
      <w:r w:rsidRPr="000F6054">
        <w:rPr>
          <w:rFonts w:eastAsia="SimSun"/>
          <w:lang w:val="sv-SE"/>
        </w:rPr>
        <w:t>S cab-radios are compliant with an ACLR of 37 dB and 3GPP LTE/NR spectrum emission mask.</w:t>
      </w:r>
    </w:p>
    <w:p w14:paraId="00DE59B1" w14:textId="3707C84B" w:rsidR="002E6ECC" w:rsidRPr="00FD5239" w:rsidRDefault="002E6ECC" w:rsidP="006C11B3">
      <w:pPr>
        <w:pStyle w:val="ListParagraph"/>
        <w:numPr>
          <w:ilvl w:val="0"/>
          <w:numId w:val="36"/>
        </w:numPr>
        <w:tabs>
          <w:tab w:val="left" w:pos="4190"/>
        </w:tabs>
        <w:ind w:firstLineChars="0"/>
        <w:rPr>
          <w:rFonts w:eastAsia="SimSun"/>
          <w:lang w:val="sv-SE"/>
        </w:rPr>
      </w:pPr>
      <w:r w:rsidRPr="00FD5239">
        <w:rPr>
          <w:rFonts w:eastAsia="SimSun"/>
          <w:lang w:val="sv-SE"/>
        </w:rPr>
        <w:t xml:space="preserve">FRMCS cab-radios shall be robust against adjacent emissions, including ECS BS below 1880 MHz and aerial UE using ECS above 1920 MHz. </w:t>
      </w:r>
    </w:p>
    <w:p w14:paraId="23DEAECC" w14:textId="6600A686" w:rsidR="00226787" w:rsidRPr="00FD5239" w:rsidRDefault="00226787" w:rsidP="006C11B3">
      <w:pPr>
        <w:pStyle w:val="ListParagraph"/>
        <w:numPr>
          <w:ilvl w:val="0"/>
          <w:numId w:val="36"/>
        </w:numPr>
        <w:tabs>
          <w:tab w:val="left" w:pos="4190"/>
        </w:tabs>
        <w:ind w:firstLineChars="0"/>
        <w:rPr>
          <w:rFonts w:eastAsia="SimSun"/>
          <w:lang w:val="sv-SE"/>
        </w:rPr>
      </w:pPr>
      <w:r w:rsidRPr="00FD5239">
        <w:rPr>
          <w:rFonts w:eastAsia="SimSun"/>
          <w:lang w:val="sv-SE"/>
        </w:rPr>
        <w:t>FRMCS BS shall be robust against adjacent emissions, including ECS BS below 1880 MHz.</w:t>
      </w:r>
    </w:p>
    <w:p w14:paraId="42015698" w14:textId="2C288F80" w:rsidR="00226787" w:rsidRDefault="00226787" w:rsidP="006C11B3">
      <w:pPr>
        <w:pStyle w:val="ListParagraph"/>
        <w:numPr>
          <w:ilvl w:val="0"/>
          <w:numId w:val="36"/>
        </w:numPr>
        <w:tabs>
          <w:tab w:val="left" w:pos="4190"/>
        </w:tabs>
        <w:ind w:firstLineChars="0"/>
        <w:rPr>
          <w:rFonts w:eastAsia="SimSun"/>
          <w:lang w:val="sv-SE"/>
        </w:rPr>
      </w:pPr>
      <w:r w:rsidRPr="00FD5239">
        <w:rPr>
          <w:rFonts w:eastAsia="SimSun"/>
          <w:lang w:val="sv-SE"/>
        </w:rPr>
        <w:t>With regard to adjacent compatibility between DECT (1880-1900 MHz) and FRMCS, it is understood that FRMCS and DECT, adjacent to each other, will generally coexist. In some worst case scenarios, measures to enable coexistence between DECT in 1880-1900 MHz and RMR in 1900-1910 MHz might be needed, when information on DECT local deployment is made available.</w:t>
      </w:r>
    </w:p>
    <w:p w14:paraId="374E16A4" w14:textId="2EC854D7" w:rsidR="0084468B" w:rsidRPr="0084468B" w:rsidRDefault="0084468B" w:rsidP="0084468B">
      <w:pPr>
        <w:tabs>
          <w:tab w:val="left" w:pos="4190"/>
        </w:tabs>
        <w:rPr>
          <w:lang w:val="sv-SE"/>
        </w:rPr>
      </w:pPr>
      <w:r w:rsidRPr="00AA5394">
        <w:rPr>
          <w:b/>
          <w:bCs/>
          <w:lang w:val="sv-SE"/>
        </w:rPr>
        <w:t>Observation</w:t>
      </w:r>
      <w:r>
        <w:rPr>
          <w:b/>
          <w:bCs/>
          <w:lang w:val="sv-SE"/>
        </w:rPr>
        <w:t>6:</w:t>
      </w:r>
      <w:r w:rsidRPr="00AA5394">
        <w:rPr>
          <w:b/>
          <w:bCs/>
          <w:lang w:val="sv-SE"/>
        </w:rPr>
        <w:t xml:space="preserve"> </w:t>
      </w:r>
      <w:r>
        <w:rPr>
          <w:b/>
          <w:bCs/>
          <w:lang w:val="sv-SE"/>
        </w:rPr>
        <w:t>CEPT</w:t>
      </w:r>
      <w:r w:rsidRPr="00AA5394">
        <w:rPr>
          <w:b/>
          <w:bCs/>
          <w:lang w:val="sv-SE"/>
        </w:rPr>
        <w:t xml:space="preserve"> Report </w:t>
      </w:r>
      <w:r>
        <w:rPr>
          <w:b/>
          <w:bCs/>
          <w:lang w:val="sv-SE"/>
        </w:rPr>
        <w:t>74 answers tasks 1 to 4 of the EC Mandate, based on ECC Reports 313, 314 and 318.</w:t>
      </w:r>
    </w:p>
    <w:p w14:paraId="4589AFF8" w14:textId="6C220752" w:rsidR="005238F3" w:rsidRDefault="005238F3" w:rsidP="00690430">
      <w:pPr>
        <w:pStyle w:val="Heading3"/>
      </w:pPr>
      <w:r>
        <w:t>CEPT Report 76</w:t>
      </w:r>
      <w:r w:rsidR="00711EF2">
        <w:t xml:space="preserve"> (</w:t>
      </w:r>
      <w:r w:rsidR="00711EF2">
        <w:fldChar w:fldCharType="begin"/>
      </w:r>
      <w:r w:rsidR="00711EF2">
        <w:instrText xml:space="preserve"> REF _Ref157097518 \r \h </w:instrText>
      </w:r>
      <w:r w:rsidR="00711EF2">
        <w:fldChar w:fldCharType="separate"/>
      </w:r>
      <w:r w:rsidR="00E055EE">
        <w:t>[6]</w:t>
      </w:r>
      <w:r w:rsidR="00711EF2">
        <w:fldChar w:fldCharType="end"/>
      </w:r>
      <w:r w:rsidR="00711EF2">
        <w:t>)</w:t>
      </w:r>
    </w:p>
    <w:p w14:paraId="002BEDBC" w14:textId="5DA91B1A" w:rsidR="001F119E" w:rsidRPr="00107FB5" w:rsidRDefault="001F119E" w:rsidP="001F119E">
      <w:pPr>
        <w:rPr>
          <w:lang w:val="sv-SE"/>
        </w:rPr>
      </w:pPr>
      <w:r>
        <w:rPr>
          <w:lang w:val="sv-SE"/>
        </w:rPr>
        <w:t xml:space="preserve">This report answers task 5 of the EC Mandate. </w:t>
      </w:r>
      <w:r w:rsidR="001A0B38">
        <w:rPr>
          <w:lang w:val="sv-SE"/>
        </w:rPr>
        <w:t>It was written based on the ECC Reports 313, 314 and 318.</w:t>
      </w:r>
    </w:p>
    <w:p w14:paraId="3C82D012" w14:textId="6A1917B0" w:rsidR="00454325" w:rsidRDefault="00454325" w:rsidP="00454325">
      <w:pPr>
        <w:tabs>
          <w:tab w:val="left" w:pos="4190"/>
        </w:tabs>
        <w:rPr>
          <w:lang w:val="sv-SE"/>
        </w:rPr>
      </w:pPr>
      <w:r>
        <w:rPr>
          <w:lang w:val="sv-SE"/>
        </w:rPr>
        <w:t>Again, only non-AAS FRMCS was considered.</w:t>
      </w:r>
    </w:p>
    <w:p w14:paraId="33952CC5" w14:textId="1105B3AB" w:rsidR="004E348C" w:rsidRPr="00606EBB" w:rsidRDefault="001A1113" w:rsidP="007B65F6">
      <w:pPr>
        <w:pStyle w:val="Default"/>
        <w:rPr>
          <w:rFonts w:ascii="Calibri" w:hAnsi="Calibri" w:cs="Calibri"/>
          <w:color w:val="auto"/>
          <w:sz w:val="22"/>
          <w:szCs w:val="22"/>
          <w:lang w:val="sv-SE"/>
        </w:rPr>
      </w:pPr>
      <w:r w:rsidRPr="00606EBB">
        <w:rPr>
          <w:rFonts w:ascii="Calibri" w:hAnsi="Calibri" w:cs="Calibri"/>
          <w:color w:val="auto"/>
          <w:sz w:val="22"/>
          <w:szCs w:val="22"/>
          <w:lang w:val="sv-SE"/>
        </w:rPr>
        <w:t>In this report, CEPT</w:t>
      </w:r>
      <w:r w:rsidR="004E348C" w:rsidRPr="00606EBB">
        <w:rPr>
          <w:rFonts w:ascii="Calibri" w:hAnsi="Calibri" w:cs="Calibri"/>
          <w:color w:val="auto"/>
          <w:sz w:val="22"/>
          <w:szCs w:val="22"/>
          <w:lang w:val="sv-SE"/>
        </w:rPr>
        <w:t xml:space="preserve"> makes the following conclusion: </w:t>
      </w:r>
    </w:p>
    <w:p w14:paraId="010C5301" w14:textId="529416CE" w:rsidR="004E348C" w:rsidRPr="00606EBB" w:rsidRDefault="004E348C" w:rsidP="00554796">
      <w:pPr>
        <w:pStyle w:val="Default"/>
        <w:numPr>
          <w:ilvl w:val="0"/>
          <w:numId w:val="35"/>
        </w:numPr>
        <w:rPr>
          <w:rFonts w:ascii="Calibri" w:hAnsi="Calibri" w:cs="Calibri"/>
          <w:color w:val="auto"/>
          <w:sz w:val="22"/>
          <w:szCs w:val="22"/>
          <w:lang w:val="sv-SE"/>
        </w:rPr>
      </w:pPr>
      <w:r w:rsidRPr="00606EBB">
        <w:rPr>
          <w:rFonts w:ascii="Calibri" w:hAnsi="Calibri" w:cs="Calibri"/>
          <w:color w:val="auto"/>
          <w:sz w:val="22"/>
          <w:szCs w:val="22"/>
          <w:lang w:val="sv-SE"/>
        </w:rPr>
        <w:t>T</w:t>
      </w:r>
      <w:r w:rsidR="007B65F6" w:rsidRPr="00606EBB">
        <w:rPr>
          <w:rFonts w:ascii="Calibri" w:hAnsi="Calibri" w:cs="Calibri"/>
          <w:color w:val="auto"/>
          <w:sz w:val="22"/>
          <w:szCs w:val="22"/>
          <w:lang w:val="sv-SE"/>
        </w:rPr>
        <w:t>he paired frequency bands 874.4-880.0 MHz and 919.4-925.0 MHz and the unpaired frequency band 1900-1910 MHz have been identified as the most appropriate spectrum bands for RMR</w:t>
      </w:r>
      <w:r w:rsidR="00BF48D7" w:rsidRPr="00606EBB">
        <w:rPr>
          <w:rFonts w:ascii="Calibri" w:hAnsi="Calibri" w:cs="Calibri"/>
          <w:color w:val="auto"/>
          <w:sz w:val="22"/>
          <w:szCs w:val="22"/>
          <w:lang w:val="sv-SE"/>
        </w:rPr>
        <w:t>.</w:t>
      </w:r>
    </w:p>
    <w:p w14:paraId="3D9EFB50" w14:textId="50EC7970" w:rsidR="00BF48D7" w:rsidRPr="00606EBB" w:rsidRDefault="00BF48D7" w:rsidP="00554796">
      <w:pPr>
        <w:pStyle w:val="Default"/>
        <w:numPr>
          <w:ilvl w:val="0"/>
          <w:numId w:val="35"/>
        </w:numPr>
        <w:rPr>
          <w:rFonts w:ascii="Calibri" w:hAnsi="Calibri" w:cs="Calibri"/>
          <w:color w:val="auto"/>
          <w:sz w:val="22"/>
          <w:szCs w:val="22"/>
          <w:lang w:val="sv-SE"/>
        </w:rPr>
      </w:pPr>
      <w:r w:rsidRPr="00606EBB">
        <w:rPr>
          <w:rFonts w:ascii="Calibri" w:hAnsi="Calibri" w:cs="Calibri"/>
          <w:color w:val="auto"/>
          <w:sz w:val="22"/>
          <w:szCs w:val="22"/>
          <w:lang w:val="sv-SE"/>
        </w:rPr>
        <w:t>CEPT p</w:t>
      </w:r>
      <w:r w:rsidR="00C82A41" w:rsidRPr="00606EBB">
        <w:rPr>
          <w:rFonts w:ascii="Calibri" w:hAnsi="Calibri" w:cs="Calibri"/>
          <w:color w:val="auto"/>
          <w:sz w:val="22"/>
          <w:szCs w:val="22"/>
          <w:lang w:val="sv-SE"/>
        </w:rPr>
        <w:t>rovid</w:t>
      </w:r>
      <w:r w:rsidRPr="00606EBB">
        <w:rPr>
          <w:rFonts w:ascii="Calibri" w:hAnsi="Calibri" w:cs="Calibri"/>
          <w:color w:val="auto"/>
          <w:sz w:val="22"/>
          <w:szCs w:val="22"/>
          <w:lang w:val="sv-SE"/>
        </w:rPr>
        <w:t>es:</w:t>
      </w:r>
    </w:p>
    <w:p w14:paraId="37F2565B" w14:textId="77777777" w:rsidR="00BF48D7" w:rsidRPr="00606EBB" w:rsidRDefault="00BF48D7" w:rsidP="006C11B3">
      <w:pPr>
        <w:pStyle w:val="Default"/>
        <w:numPr>
          <w:ilvl w:val="1"/>
          <w:numId w:val="36"/>
        </w:numPr>
        <w:rPr>
          <w:rFonts w:ascii="Calibri" w:hAnsi="Calibri" w:cs="Calibri"/>
          <w:color w:val="auto"/>
          <w:sz w:val="22"/>
          <w:szCs w:val="22"/>
          <w:lang w:val="sv-SE"/>
        </w:rPr>
      </w:pPr>
      <w:r w:rsidRPr="00606EBB">
        <w:rPr>
          <w:rFonts w:ascii="Calibri" w:hAnsi="Calibri" w:cs="Calibri"/>
          <w:color w:val="auto"/>
          <w:sz w:val="22"/>
          <w:szCs w:val="22"/>
          <w:lang w:val="sv-SE"/>
        </w:rPr>
        <w:t>T</w:t>
      </w:r>
      <w:r w:rsidR="00C82A41" w:rsidRPr="00606EBB">
        <w:rPr>
          <w:rFonts w:ascii="Calibri" w:hAnsi="Calibri" w:cs="Calibri"/>
          <w:color w:val="auto"/>
          <w:sz w:val="22"/>
          <w:szCs w:val="22"/>
          <w:lang w:val="sv-SE"/>
        </w:rPr>
        <w:t xml:space="preserve">he </w:t>
      </w:r>
      <w:r w:rsidR="007B65F6" w:rsidRPr="00606EBB">
        <w:rPr>
          <w:rFonts w:ascii="Calibri" w:hAnsi="Calibri" w:cs="Calibri"/>
          <w:color w:val="auto"/>
          <w:sz w:val="22"/>
          <w:szCs w:val="22"/>
          <w:lang w:val="sv-SE"/>
        </w:rPr>
        <w:t>harmonised technical conditions for GSM-R in 874.4-880.0 MHz / 919.4-925.0 MHz</w:t>
      </w:r>
      <w:r w:rsidRPr="00606EBB">
        <w:rPr>
          <w:rFonts w:ascii="Calibri" w:hAnsi="Calibri" w:cs="Calibri"/>
          <w:color w:val="auto"/>
          <w:sz w:val="22"/>
          <w:szCs w:val="22"/>
          <w:lang w:val="sv-SE"/>
        </w:rPr>
        <w:t>.</w:t>
      </w:r>
    </w:p>
    <w:p w14:paraId="5FC3774B" w14:textId="77777777" w:rsidR="00532296" w:rsidRPr="00606EBB" w:rsidRDefault="00BF48D7" w:rsidP="006C11B3">
      <w:pPr>
        <w:pStyle w:val="Default"/>
        <w:numPr>
          <w:ilvl w:val="1"/>
          <w:numId w:val="36"/>
        </w:numPr>
        <w:rPr>
          <w:rFonts w:ascii="Calibri" w:hAnsi="Calibri" w:cs="Calibri"/>
          <w:color w:val="auto"/>
          <w:sz w:val="22"/>
          <w:szCs w:val="22"/>
          <w:lang w:val="sv-SE"/>
        </w:rPr>
      </w:pPr>
      <w:r w:rsidRPr="00606EBB">
        <w:rPr>
          <w:rFonts w:ascii="Calibri" w:hAnsi="Calibri" w:cs="Calibri"/>
          <w:color w:val="auto"/>
          <w:sz w:val="22"/>
          <w:szCs w:val="22"/>
          <w:lang w:val="sv-SE"/>
        </w:rPr>
        <w:t>T</w:t>
      </w:r>
      <w:r w:rsidR="007B65F6" w:rsidRPr="00606EBB">
        <w:rPr>
          <w:rFonts w:ascii="Calibri" w:hAnsi="Calibri" w:cs="Calibri"/>
          <w:color w:val="auto"/>
          <w:sz w:val="22"/>
          <w:szCs w:val="22"/>
          <w:lang w:val="sv-SE"/>
        </w:rPr>
        <w:t xml:space="preserve">he harmonised least restrictive technical conditions for wideband RMR (FRMCS) in 874.4-880.0 MHz / 919.4-925.0 MHz. </w:t>
      </w:r>
    </w:p>
    <w:p w14:paraId="24EC51E4" w14:textId="77777777" w:rsidR="00532296" w:rsidRPr="00606EBB" w:rsidRDefault="007B65F6" w:rsidP="006C11B3">
      <w:pPr>
        <w:pStyle w:val="Default"/>
        <w:numPr>
          <w:ilvl w:val="1"/>
          <w:numId w:val="36"/>
        </w:numPr>
        <w:rPr>
          <w:rFonts w:ascii="Calibri" w:hAnsi="Calibri" w:cs="Calibri"/>
          <w:color w:val="auto"/>
          <w:sz w:val="22"/>
          <w:szCs w:val="22"/>
          <w:lang w:val="sv-SE"/>
        </w:rPr>
      </w:pPr>
      <w:r w:rsidRPr="00606EBB">
        <w:rPr>
          <w:rFonts w:ascii="Calibri" w:hAnsi="Calibri" w:cs="Calibri"/>
          <w:color w:val="auto"/>
          <w:sz w:val="22"/>
          <w:szCs w:val="22"/>
          <w:lang w:val="sv-SE"/>
        </w:rPr>
        <w:t>The harmonised least restrictive technical cond</w:t>
      </w:r>
      <w:r w:rsidR="00532296" w:rsidRPr="00606EBB">
        <w:rPr>
          <w:rFonts w:ascii="Calibri" w:hAnsi="Calibri" w:cs="Calibri"/>
          <w:color w:val="auto"/>
          <w:sz w:val="22"/>
          <w:szCs w:val="22"/>
          <w:lang w:val="sv-SE"/>
        </w:rPr>
        <w:t>i</w:t>
      </w:r>
      <w:r w:rsidRPr="00606EBB">
        <w:rPr>
          <w:rFonts w:ascii="Calibri" w:hAnsi="Calibri" w:cs="Calibri"/>
          <w:color w:val="auto"/>
          <w:sz w:val="22"/>
          <w:szCs w:val="22"/>
          <w:lang w:val="sv-SE"/>
        </w:rPr>
        <w:t xml:space="preserve">tions for wideband RMR (FRMCS) in 1900-1910 MHz. </w:t>
      </w:r>
    </w:p>
    <w:p w14:paraId="564EAB48" w14:textId="77777777" w:rsidR="00532296" w:rsidRPr="00606EBB" w:rsidRDefault="00532296" w:rsidP="00532296">
      <w:pPr>
        <w:pStyle w:val="Default"/>
        <w:rPr>
          <w:rFonts w:ascii="Calibri" w:hAnsi="Calibri" w:cs="Calibri"/>
          <w:color w:val="auto"/>
          <w:sz w:val="22"/>
          <w:szCs w:val="22"/>
          <w:lang w:val="sv-SE"/>
        </w:rPr>
      </w:pPr>
    </w:p>
    <w:p w14:paraId="43D50EA2" w14:textId="4684C617" w:rsidR="000D6DC2" w:rsidRPr="00606EBB" w:rsidRDefault="00532296" w:rsidP="00532296">
      <w:pPr>
        <w:pStyle w:val="Default"/>
        <w:rPr>
          <w:rFonts w:ascii="Calibri" w:hAnsi="Calibri" w:cs="Calibri"/>
          <w:color w:val="auto"/>
          <w:sz w:val="22"/>
          <w:szCs w:val="22"/>
          <w:lang w:val="sv-SE"/>
        </w:rPr>
      </w:pPr>
      <w:r w:rsidRPr="00606EBB">
        <w:rPr>
          <w:rFonts w:ascii="Calibri" w:hAnsi="Calibri" w:cs="Calibri"/>
          <w:color w:val="auto"/>
          <w:sz w:val="22"/>
          <w:szCs w:val="22"/>
          <w:lang w:val="sv-SE"/>
        </w:rPr>
        <w:t xml:space="preserve">Regarding the </w:t>
      </w:r>
      <w:r w:rsidR="008C0606" w:rsidRPr="00606EBB">
        <w:rPr>
          <w:rFonts w:ascii="Calibri" w:hAnsi="Calibri" w:cs="Calibri"/>
          <w:color w:val="auto"/>
          <w:sz w:val="22"/>
          <w:szCs w:val="22"/>
          <w:lang w:val="sv-SE"/>
        </w:rPr>
        <w:t xml:space="preserve">1900-1910 MHz frequency range for FRMCS, </w:t>
      </w:r>
      <w:r w:rsidR="00554796">
        <w:rPr>
          <w:rFonts w:ascii="Calibri" w:hAnsi="Calibri" w:cs="Calibri"/>
          <w:color w:val="auto"/>
          <w:sz w:val="22"/>
          <w:szCs w:val="22"/>
          <w:lang w:val="sv-SE"/>
        </w:rPr>
        <w:t xml:space="preserve">repeating CEPT Report 74, </w:t>
      </w:r>
      <w:r w:rsidR="008C0606" w:rsidRPr="00606EBB">
        <w:rPr>
          <w:rFonts w:ascii="Calibri" w:hAnsi="Calibri" w:cs="Calibri"/>
          <w:color w:val="auto"/>
          <w:sz w:val="22"/>
          <w:szCs w:val="22"/>
          <w:lang w:val="sv-SE"/>
        </w:rPr>
        <w:t xml:space="preserve">CEPT </w:t>
      </w:r>
      <w:r w:rsidR="00554796">
        <w:rPr>
          <w:rFonts w:ascii="Calibri" w:hAnsi="Calibri" w:cs="Calibri"/>
          <w:color w:val="auto"/>
          <w:sz w:val="22"/>
          <w:szCs w:val="22"/>
          <w:lang w:val="sv-SE"/>
        </w:rPr>
        <w:t xml:space="preserve">also </w:t>
      </w:r>
      <w:r w:rsidR="008C0606" w:rsidRPr="00606EBB">
        <w:rPr>
          <w:rFonts w:ascii="Calibri" w:hAnsi="Calibri" w:cs="Calibri"/>
          <w:color w:val="auto"/>
          <w:sz w:val="22"/>
          <w:szCs w:val="22"/>
          <w:lang w:val="sv-SE"/>
        </w:rPr>
        <w:t>highlights that</w:t>
      </w:r>
      <w:r w:rsidR="000D6DC2" w:rsidRPr="00606EBB">
        <w:rPr>
          <w:rFonts w:ascii="Calibri" w:hAnsi="Calibri" w:cs="Calibri"/>
          <w:color w:val="auto"/>
          <w:sz w:val="22"/>
          <w:szCs w:val="22"/>
          <w:lang w:val="sv-SE"/>
        </w:rPr>
        <w:t>:</w:t>
      </w:r>
    </w:p>
    <w:p w14:paraId="24E05FA9" w14:textId="5F30986B" w:rsidR="000D6DC2" w:rsidRPr="00606EBB" w:rsidRDefault="000D6DC2" w:rsidP="00554796">
      <w:pPr>
        <w:pStyle w:val="Default"/>
        <w:numPr>
          <w:ilvl w:val="0"/>
          <w:numId w:val="35"/>
        </w:numPr>
        <w:rPr>
          <w:rFonts w:ascii="Calibri" w:hAnsi="Calibri" w:cs="Calibri"/>
          <w:color w:val="auto"/>
          <w:sz w:val="22"/>
          <w:szCs w:val="22"/>
          <w:lang w:val="sv-SE"/>
        </w:rPr>
      </w:pPr>
      <w:r w:rsidRPr="00606EBB">
        <w:rPr>
          <w:rFonts w:ascii="Calibri" w:hAnsi="Calibri" w:cs="Calibri"/>
          <w:color w:val="auto"/>
          <w:sz w:val="22"/>
          <w:szCs w:val="22"/>
          <w:lang w:val="sv-SE"/>
        </w:rPr>
        <w:t>T</w:t>
      </w:r>
      <w:r w:rsidR="007B65F6" w:rsidRPr="00606EBB">
        <w:rPr>
          <w:rFonts w:ascii="Calibri" w:hAnsi="Calibri" w:cs="Calibri"/>
          <w:color w:val="auto"/>
          <w:sz w:val="22"/>
          <w:szCs w:val="22"/>
          <w:lang w:val="sv-SE"/>
        </w:rPr>
        <w:t xml:space="preserve">he BEM for wideband RMR BS assumes that </w:t>
      </w:r>
      <w:r w:rsidR="002A245D">
        <w:rPr>
          <w:rFonts w:ascii="Calibri" w:hAnsi="Calibri" w:cs="Calibri"/>
          <w:color w:val="auto"/>
          <w:sz w:val="22"/>
          <w:szCs w:val="22"/>
          <w:lang w:val="sv-SE"/>
        </w:rPr>
        <w:t xml:space="preserve">ECS </w:t>
      </w:r>
      <w:r w:rsidR="007B65F6" w:rsidRPr="00606EBB">
        <w:rPr>
          <w:rFonts w:ascii="Calibri" w:hAnsi="Calibri" w:cs="Calibri"/>
          <w:color w:val="auto"/>
          <w:sz w:val="22"/>
          <w:szCs w:val="22"/>
          <w:lang w:val="sv-SE"/>
        </w:rPr>
        <w:t>BS have enhanced selectivity compared to the current Harmonised European Standards</w:t>
      </w:r>
      <w:r w:rsidR="004C014B" w:rsidRPr="00606EBB">
        <w:rPr>
          <w:rFonts w:ascii="Calibri" w:hAnsi="Calibri" w:cs="Calibri"/>
          <w:color w:val="auto"/>
          <w:sz w:val="22"/>
          <w:szCs w:val="22"/>
          <w:lang w:val="sv-SE"/>
        </w:rPr>
        <w:t xml:space="preserve">, this to </w:t>
      </w:r>
      <w:r w:rsidR="007B65F6" w:rsidRPr="00606EBB">
        <w:rPr>
          <w:rFonts w:ascii="Calibri" w:hAnsi="Calibri" w:cs="Calibri"/>
          <w:color w:val="auto"/>
          <w:sz w:val="22"/>
          <w:szCs w:val="22"/>
          <w:lang w:val="sv-SE"/>
        </w:rPr>
        <w:t xml:space="preserve">facilitate coexistence with RMR BS transmitting up to 65 dBm </w:t>
      </w:r>
      <w:r w:rsidR="00355A64" w:rsidRPr="00606EBB">
        <w:rPr>
          <w:rFonts w:ascii="Calibri" w:hAnsi="Calibri" w:cs="Calibri"/>
          <w:color w:val="auto"/>
          <w:sz w:val="22"/>
          <w:szCs w:val="22"/>
          <w:lang w:val="sv-SE"/>
        </w:rPr>
        <w:t>EIRP</w:t>
      </w:r>
      <w:r w:rsidR="007B65F6" w:rsidRPr="00606EBB">
        <w:rPr>
          <w:rFonts w:ascii="Calibri" w:hAnsi="Calibri" w:cs="Calibri"/>
          <w:color w:val="auto"/>
          <w:sz w:val="22"/>
          <w:szCs w:val="22"/>
          <w:lang w:val="sv-SE"/>
        </w:rPr>
        <w:t xml:space="preserve">. </w:t>
      </w:r>
    </w:p>
    <w:p w14:paraId="1D12696E" w14:textId="0FE1CC78" w:rsidR="000D6DC2" w:rsidRPr="00606EBB" w:rsidRDefault="002A245D" w:rsidP="00554796">
      <w:pPr>
        <w:pStyle w:val="Default"/>
        <w:numPr>
          <w:ilvl w:val="0"/>
          <w:numId w:val="35"/>
        </w:numPr>
        <w:rPr>
          <w:rFonts w:ascii="Calibri" w:hAnsi="Calibri" w:cs="Calibri"/>
          <w:color w:val="auto"/>
          <w:sz w:val="22"/>
          <w:szCs w:val="22"/>
          <w:lang w:val="sv-SE"/>
        </w:rPr>
      </w:pPr>
      <w:r>
        <w:rPr>
          <w:rFonts w:ascii="Calibri" w:hAnsi="Calibri" w:cs="Calibri"/>
          <w:color w:val="auto"/>
          <w:sz w:val="22"/>
          <w:szCs w:val="22"/>
          <w:lang w:val="sv-SE"/>
        </w:rPr>
        <w:t>ECS</w:t>
      </w:r>
      <w:r w:rsidR="007B65F6" w:rsidRPr="00606EBB">
        <w:rPr>
          <w:rFonts w:ascii="Calibri" w:hAnsi="Calibri" w:cs="Calibri"/>
          <w:color w:val="auto"/>
          <w:sz w:val="22"/>
          <w:szCs w:val="22"/>
          <w:lang w:val="sv-SE"/>
        </w:rPr>
        <w:t xml:space="preserve"> BS located near an RMR radio site which do not meet the enhanced selectivity criterion may need to be adapted so that they do not suffer interference. </w:t>
      </w:r>
    </w:p>
    <w:p w14:paraId="26B9556B" w14:textId="5276EE66" w:rsidR="007B65F6" w:rsidRPr="00606EBB" w:rsidRDefault="007B65F6" w:rsidP="00554796">
      <w:pPr>
        <w:pStyle w:val="Default"/>
        <w:numPr>
          <w:ilvl w:val="0"/>
          <w:numId w:val="35"/>
        </w:numPr>
        <w:rPr>
          <w:rFonts w:ascii="Calibri" w:hAnsi="Calibri" w:cs="Calibri"/>
          <w:color w:val="auto"/>
          <w:sz w:val="22"/>
          <w:szCs w:val="22"/>
          <w:lang w:val="sv-SE"/>
        </w:rPr>
      </w:pPr>
      <w:r w:rsidRPr="00606EBB">
        <w:rPr>
          <w:rFonts w:ascii="Calibri" w:hAnsi="Calibri" w:cs="Calibri"/>
          <w:color w:val="auto"/>
          <w:sz w:val="22"/>
          <w:szCs w:val="22"/>
          <w:lang w:val="sv-SE"/>
        </w:rPr>
        <w:t xml:space="preserve">Operators of mobile networks in 1920-1980 MHz should have, sufficiently far in advance, information on the rollout of a new RMR BS in 1900-1910 MHz. </w:t>
      </w:r>
    </w:p>
    <w:p w14:paraId="4C851438" w14:textId="77777777" w:rsidR="00DE3B5A" w:rsidRDefault="00DE3B5A" w:rsidP="0084468B">
      <w:pPr>
        <w:tabs>
          <w:tab w:val="left" w:pos="4190"/>
        </w:tabs>
        <w:rPr>
          <w:b/>
          <w:bCs/>
          <w:lang w:val="sv-SE"/>
        </w:rPr>
      </w:pPr>
    </w:p>
    <w:p w14:paraId="4C0937CD" w14:textId="56566C49" w:rsidR="0084468B" w:rsidRDefault="0084468B" w:rsidP="0084468B">
      <w:pPr>
        <w:tabs>
          <w:tab w:val="left" w:pos="4190"/>
        </w:tabs>
        <w:rPr>
          <w:b/>
          <w:bCs/>
          <w:lang w:val="sv-SE"/>
        </w:rPr>
      </w:pPr>
      <w:r w:rsidRPr="0084468B">
        <w:rPr>
          <w:b/>
          <w:bCs/>
          <w:lang w:val="sv-SE"/>
        </w:rPr>
        <w:t>Observation</w:t>
      </w:r>
      <w:r>
        <w:rPr>
          <w:b/>
          <w:bCs/>
          <w:lang w:val="sv-SE"/>
        </w:rPr>
        <w:t>7</w:t>
      </w:r>
      <w:r w:rsidRPr="0084468B">
        <w:rPr>
          <w:b/>
          <w:bCs/>
          <w:lang w:val="sv-SE"/>
        </w:rPr>
        <w:t>: CEPT Report 7</w:t>
      </w:r>
      <w:r>
        <w:rPr>
          <w:b/>
          <w:bCs/>
          <w:lang w:val="sv-SE"/>
        </w:rPr>
        <w:t>6</w:t>
      </w:r>
      <w:r w:rsidRPr="0084468B">
        <w:rPr>
          <w:b/>
          <w:bCs/>
          <w:lang w:val="sv-SE"/>
        </w:rPr>
        <w:t xml:space="preserve"> answers task </w:t>
      </w:r>
      <w:r>
        <w:rPr>
          <w:b/>
          <w:bCs/>
          <w:lang w:val="sv-SE"/>
        </w:rPr>
        <w:t>5</w:t>
      </w:r>
      <w:r w:rsidRPr="0084468B">
        <w:rPr>
          <w:b/>
          <w:bCs/>
          <w:lang w:val="sv-SE"/>
        </w:rPr>
        <w:t xml:space="preserve"> of the EC Mandate, based on ECC Reports 313, 314 and 318.</w:t>
      </w:r>
    </w:p>
    <w:p w14:paraId="5B7EFCE1" w14:textId="77777777" w:rsidR="00DE3B5A" w:rsidRPr="0084468B" w:rsidRDefault="00DE3B5A" w:rsidP="0084468B">
      <w:pPr>
        <w:tabs>
          <w:tab w:val="left" w:pos="4190"/>
        </w:tabs>
        <w:rPr>
          <w:lang w:val="sv-SE"/>
        </w:rPr>
      </w:pPr>
    </w:p>
    <w:p w14:paraId="1655CF99" w14:textId="6E4C9D5F" w:rsidR="005238F3" w:rsidRDefault="005238F3" w:rsidP="00690430">
      <w:pPr>
        <w:pStyle w:val="Heading3"/>
      </w:pPr>
      <w:r>
        <w:t>ECC Decision(20)02</w:t>
      </w:r>
      <w:r w:rsidR="00711EF2">
        <w:t xml:space="preserve"> (</w:t>
      </w:r>
      <w:r w:rsidR="00711EF2">
        <w:fldChar w:fldCharType="begin"/>
      </w:r>
      <w:r w:rsidR="00711EF2">
        <w:instrText xml:space="preserve"> REF _Ref157097527 \r \h </w:instrText>
      </w:r>
      <w:r w:rsidR="00711EF2">
        <w:fldChar w:fldCharType="separate"/>
      </w:r>
      <w:r w:rsidR="00E055EE">
        <w:t>[7]</w:t>
      </w:r>
      <w:r w:rsidR="00711EF2">
        <w:fldChar w:fldCharType="end"/>
      </w:r>
      <w:r w:rsidR="00711EF2">
        <w:t>)</w:t>
      </w:r>
    </w:p>
    <w:p w14:paraId="41A97B44" w14:textId="03932E6B" w:rsidR="003B7B57" w:rsidRDefault="004B6A3B" w:rsidP="003B7B57">
      <w:pPr>
        <w:rPr>
          <w:lang w:val="sv-SE"/>
        </w:rPr>
      </w:pPr>
      <w:r>
        <w:rPr>
          <w:lang w:val="sv-SE"/>
        </w:rPr>
        <w:t xml:space="preserve">Based on the CEPT reports </w:t>
      </w:r>
      <w:r w:rsidR="00E35F97">
        <w:rPr>
          <w:lang w:val="sv-SE"/>
        </w:rPr>
        <w:t>listed abo</w:t>
      </w:r>
      <w:r w:rsidR="0039353B">
        <w:rPr>
          <w:lang w:val="sv-SE"/>
        </w:rPr>
        <w:t>v</w:t>
      </w:r>
      <w:r w:rsidR="00E35F97">
        <w:rPr>
          <w:lang w:val="sv-SE"/>
        </w:rPr>
        <w:t>e, t</w:t>
      </w:r>
      <w:r>
        <w:rPr>
          <w:lang w:val="sv-SE"/>
        </w:rPr>
        <w:t>he ECC Decision</w:t>
      </w:r>
      <w:r w:rsidR="009F3D0E">
        <w:rPr>
          <w:lang w:val="sv-SE"/>
        </w:rPr>
        <w:t>(20)02</w:t>
      </w:r>
      <w:r w:rsidR="004D4C90">
        <w:rPr>
          <w:lang w:val="sv-SE"/>
        </w:rPr>
        <w:t xml:space="preserve"> </w:t>
      </w:r>
      <w:r w:rsidR="003E5A3D">
        <w:rPr>
          <w:lang w:val="sv-SE"/>
        </w:rPr>
        <w:t xml:space="preserve">regulates the technical and operational parameters to RMR in the </w:t>
      </w:r>
      <w:r w:rsidR="000E778D">
        <w:rPr>
          <w:lang w:val="sv-SE"/>
        </w:rPr>
        <w:t>frequenc</w:t>
      </w:r>
      <w:r w:rsidR="004F3A50">
        <w:rPr>
          <w:lang w:val="sv-SE"/>
        </w:rPr>
        <w:t>y</w:t>
      </w:r>
      <w:r w:rsidR="000E778D">
        <w:rPr>
          <w:lang w:val="sv-SE"/>
        </w:rPr>
        <w:t xml:space="preserve"> band </w:t>
      </w:r>
      <w:r w:rsidR="00AD5503">
        <w:rPr>
          <w:lang w:val="sv-SE"/>
        </w:rPr>
        <w:t>1900-1910 MHz (LRTC)</w:t>
      </w:r>
      <w:r w:rsidR="00664561">
        <w:rPr>
          <w:lang w:val="sv-SE"/>
        </w:rPr>
        <w:t xml:space="preserve">, assuming </w:t>
      </w:r>
      <w:r w:rsidR="00F344CC">
        <w:rPr>
          <w:lang w:val="sv-SE"/>
        </w:rPr>
        <w:t>that MFCN BS receiving above 1920 Mhz</w:t>
      </w:r>
      <w:r w:rsidR="004F3A50">
        <w:rPr>
          <w:lang w:val="sv-SE"/>
        </w:rPr>
        <w:t xml:space="preserve"> </w:t>
      </w:r>
      <w:r w:rsidR="00F344CC">
        <w:rPr>
          <w:lang w:val="sv-SE"/>
        </w:rPr>
        <w:t>have an e</w:t>
      </w:r>
      <w:r w:rsidR="00C10EC2">
        <w:rPr>
          <w:lang w:val="sv-SE"/>
        </w:rPr>
        <w:t>nhanced selectivity compares to the current Harmonized Standards</w:t>
      </w:r>
      <w:r w:rsidR="00883492">
        <w:rPr>
          <w:lang w:val="sv-SE"/>
        </w:rPr>
        <w:t xml:space="preserve"> to facilitate coexistence with RMR BS transmitting up to 65 dBm EIRP</w:t>
      </w:r>
      <w:r w:rsidR="00985549">
        <w:rPr>
          <w:lang w:val="sv-SE"/>
        </w:rPr>
        <w:t xml:space="preserve"> when MFCN BS are located near by a RMR site</w:t>
      </w:r>
      <w:r w:rsidR="00EC3402">
        <w:rPr>
          <w:lang w:val="sv-SE"/>
        </w:rPr>
        <w:t xml:space="preserve"> (considering ”k”)</w:t>
      </w:r>
      <w:r w:rsidR="00985549">
        <w:rPr>
          <w:lang w:val="sv-SE"/>
        </w:rPr>
        <w:t xml:space="preserve">. </w:t>
      </w:r>
    </w:p>
    <w:p w14:paraId="19E501B8" w14:textId="2AEE9DD2" w:rsidR="00C92935" w:rsidRDefault="00C92935" w:rsidP="003B7B57">
      <w:pPr>
        <w:rPr>
          <w:lang w:val="sv-SE"/>
        </w:rPr>
      </w:pPr>
      <w:r w:rsidRPr="0084468B">
        <w:rPr>
          <w:b/>
          <w:bCs/>
          <w:lang w:val="sv-SE"/>
        </w:rPr>
        <w:t>Observation</w:t>
      </w:r>
      <w:r>
        <w:rPr>
          <w:b/>
          <w:bCs/>
          <w:lang w:val="sv-SE"/>
        </w:rPr>
        <w:t>8</w:t>
      </w:r>
      <w:r w:rsidRPr="0084468B">
        <w:rPr>
          <w:b/>
          <w:bCs/>
          <w:lang w:val="sv-SE"/>
        </w:rPr>
        <w:t xml:space="preserve">: </w:t>
      </w:r>
      <w:r>
        <w:rPr>
          <w:b/>
          <w:bCs/>
          <w:lang w:val="sv-SE"/>
        </w:rPr>
        <w:t>ECC Decision(20)</w:t>
      </w:r>
      <w:r w:rsidRPr="004F3A50">
        <w:rPr>
          <w:b/>
          <w:bCs/>
          <w:lang w:val="sv-SE"/>
        </w:rPr>
        <w:t xml:space="preserve">02 </w:t>
      </w:r>
      <w:r w:rsidR="004F3A50" w:rsidRPr="004F3A50">
        <w:rPr>
          <w:b/>
          <w:bCs/>
          <w:lang w:val="sv-SE"/>
        </w:rPr>
        <w:t>regulates the RMR technical and operational parameters in the frequency band 1900-1910 MHz, assuming an enhanced selectivity (compare</w:t>
      </w:r>
      <w:r w:rsidR="00AA7B92">
        <w:rPr>
          <w:b/>
          <w:bCs/>
          <w:lang w:val="sv-SE"/>
        </w:rPr>
        <w:t>d</w:t>
      </w:r>
      <w:r w:rsidR="004F3A50" w:rsidRPr="004F3A50">
        <w:rPr>
          <w:b/>
          <w:bCs/>
          <w:lang w:val="sv-SE"/>
        </w:rPr>
        <w:t xml:space="preserve"> to the current Harmonized Standards) of MFCN BS in band n1.</w:t>
      </w:r>
    </w:p>
    <w:p w14:paraId="1C160B05" w14:textId="77777777" w:rsidR="00C92935" w:rsidRDefault="00C92935" w:rsidP="003B7B57">
      <w:pPr>
        <w:rPr>
          <w:lang w:val="sv-SE"/>
        </w:rPr>
      </w:pPr>
    </w:p>
    <w:p w14:paraId="686EA686" w14:textId="4720079D" w:rsidR="009649D8" w:rsidRDefault="009649D8" w:rsidP="00282C4D">
      <w:pPr>
        <w:pStyle w:val="Heading3"/>
      </w:pPr>
      <w:r>
        <w:t>EC Decision (</w:t>
      </w:r>
      <w:r w:rsidR="00E055EE">
        <w:fldChar w:fldCharType="begin"/>
      </w:r>
      <w:r w:rsidR="00E055EE">
        <w:instrText xml:space="preserve"> REF _Ref158626269 \r \h </w:instrText>
      </w:r>
      <w:r w:rsidR="00E055EE">
        <w:fldChar w:fldCharType="separate"/>
      </w:r>
      <w:r w:rsidR="00E055EE">
        <w:t>[8]</w:t>
      </w:r>
      <w:r w:rsidR="00E055EE">
        <w:fldChar w:fldCharType="end"/>
      </w:r>
      <w:r>
        <w:t>)</w:t>
      </w:r>
    </w:p>
    <w:p w14:paraId="25632023" w14:textId="0D07B5B5" w:rsidR="009649D8" w:rsidRDefault="00A67098" w:rsidP="009649D8">
      <w:pPr>
        <w:rPr>
          <w:lang w:val="sv-SE"/>
        </w:rPr>
      </w:pPr>
      <w:r>
        <w:rPr>
          <w:lang w:val="sv-SE"/>
        </w:rPr>
        <w:t xml:space="preserve">Based on ECC Decision(20)02, </w:t>
      </w:r>
      <w:r w:rsidR="00AE25A2">
        <w:rPr>
          <w:lang w:val="sv-SE"/>
        </w:rPr>
        <w:t>the European Commission published the EC Decision 2021/1730</w:t>
      </w:r>
      <w:r w:rsidR="00975E52">
        <w:rPr>
          <w:lang w:val="sv-SE"/>
        </w:rPr>
        <w:t xml:space="preserve"> </w:t>
      </w:r>
      <w:r w:rsidR="00CC3410">
        <w:rPr>
          <w:lang w:val="sv-SE"/>
        </w:rPr>
        <w:t xml:space="preserve">assuming as well an enhanced selectivity </w:t>
      </w:r>
      <w:r w:rsidR="004231A2">
        <w:rPr>
          <w:lang w:val="sv-SE"/>
        </w:rPr>
        <w:t>for BS operating above 1920 MHz</w:t>
      </w:r>
      <w:r w:rsidR="004D4E21">
        <w:rPr>
          <w:lang w:val="sv-SE"/>
        </w:rPr>
        <w:t xml:space="preserve"> and specifying the same technical conditions for bands n100 and n101.</w:t>
      </w:r>
    </w:p>
    <w:p w14:paraId="2F2F5A9D" w14:textId="6A63C4FA" w:rsidR="00A4790F" w:rsidRDefault="00A4790F" w:rsidP="00A4790F">
      <w:pPr>
        <w:rPr>
          <w:lang w:val="sv-SE"/>
        </w:rPr>
      </w:pPr>
      <w:r w:rsidRPr="0084468B">
        <w:rPr>
          <w:b/>
          <w:bCs/>
          <w:lang w:val="sv-SE"/>
        </w:rPr>
        <w:t>Observation</w:t>
      </w:r>
      <w:r>
        <w:rPr>
          <w:b/>
          <w:bCs/>
          <w:lang w:val="sv-SE"/>
        </w:rPr>
        <w:t>9</w:t>
      </w:r>
      <w:r w:rsidRPr="0084468B">
        <w:rPr>
          <w:b/>
          <w:bCs/>
          <w:lang w:val="sv-SE"/>
        </w:rPr>
        <w:t xml:space="preserve">: </w:t>
      </w:r>
      <w:r w:rsidR="00591817">
        <w:rPr>
          <w:b/>
          <w:bCs/>
          <w:lang w:val="sv-SE"/>
        </w:rPr>
        <w:t xml:space="preserve">The European Commission implemented the </w:t>
      </w:r>
      <w:r>
        <w:rPr>
          <w:b/>
          <w:bCs/>
          <w:lang w:val="sv-SE"/>
        </w:rPr>
        <w:t>EC Decision 2021/1730</w:t>
      </w:r>
      <w:r w:rsidRPr="004F3A50">
        <w:rPr>
          <w:b/>
          <w:bCs/>
          <w:lang w:val="sv-SE"/>
        </w:rPr>
        <w:t xml:space="preserve"> </w:t>
      </w:r>
      <w:r w:rsidR="00C30594">
        <w:rPr>
          <w:b/>
          <w:bCs/>
          <w:lang w:val="sv-SE"/>
        </w:rPr>
        <w:t xml:space="preserve">with the same technical conditions and assumptions than ECC Decision(20)02. </w:t>
      </w:r>
    </w:p>
    <w:p w14:paraId="3CCC3C83" w14:textId="77777777" w:rsidR="00A4790F" w:rsidRDefault="00A4790F" w:rsidP="009649D8">
      <w:pPr>
        <w:rPr>
          <w:lang w:val="sv-SE"/>
        </w:rPr>
      </w:pPr>
    </w:p>
    <w:p w14:paraId="401037FC" w14:textId="6C07204A" w:rsidR="00282C4D" w:rsidRDefault="00282C4D" w:rsidP="00282C4D">
      <w:pPr>
        <w:pStyle w:val="Heading3"/>
      </w:pPr>
      <w:r>
        <w:t>ETSI</w:t>
      </w:r>
    </w:p>
    <w:p w14:paraId="128BE319" w14:textId="13FE61A9" w:rsidR="007B52BE" w:rsidRDefault="00282C4D" w:rsidP="007B52BE">
      <w:pPr>
        <w:pStyle w:val="NoSpacing"/>
        <w:jc w:val="both"/>
        <w:rPr>
          <w:lang w:val="sv-SE"/>
        </w:rPr>
      </w:pPr>
      <w:r>
        <w:rPr>
          <w:lang w:val="sv-SE"/>
        </w:rPr>
        <w:t xml:space="preserve">After </w:t>
      </w:r>
      <w:r w:rsidR="006F4DC0">
        <w:rPr>
          <w:lang w:val="sv-SE"/>
        </w:rPr>
        <w:t xml:space="preserve">CEPT </w:t>
      </w:r>
      <w:r>
        <w:rPr>
          <w:lang w:val="sv-SE"/>
        </w:rPr>
        <w:t xml:space="preserve">WG FM endorsed the ECC Decision(20)02, </w:t>
      </w:r>
      <w:r w:rsidR="00B4342E">
        <w:rPr>
          <w:lang w:val="sv-SE"/>
        </w:rPr>
        <w:t xml:space="preserve">CEPT WG FM sent a LS </w:t>
      </w:r>
      <w:r w:rsidR="00AA6266">
        <w:rPr>
          <w:lang w:val="sv-SE"/>
        </w:rPr>
        <w:t>(</w:t>
      </w:r>
      <w:r w:rsidR="00711EF2">
        <w:rPr>
          <w:lang w:val="sv-SE"/>
        </w:rPr>
        <w:fldChar w:fldCharType="begin"/>
      </w:r>
      <w:r w:rsidR="00711EF2">
        <w:rPr>
          <w:lang w:val="sv-SE"/>
        </w:rPr>
        <w:instrText xml:space="preserve"> REF _Ref157097535 \r \h </w:instrText>
      </w:r>
      <w:r w:rsidR="00711EF2">
        <w:rPr>
          <w:lang w:val="sv-SE"/>
        </w:rPr>
      </w:r>
      <w:r w:rsidR="00711EF2">
        <w:rPr>
          <w:lang w:val="sv-SE"/>
        </w:rPr>
        <w:fldChar w:fldCharType="separate"/>
      </w:r>
      <w:r w:rsidR="00E055EE">
        <w:rPr>
          <w:lang w:val="sv-SE"/>
        </w:rPr>
        <w:t>[8]</w:t>
      </w:r>
      <w:r w:rsidR="00711EF2">
        <w:rPr>
          <w:lang w:val="sv-SE"/>
        </w:rPr>
        <w:fldChar w:fldCharType="end"/>
      </w:r>
      <w:r w:rsidR="00AA6266">
        <w:rPr>
          <w:lang w:val="sv-SE"/>
        </w:rPr>
        <w:t xml:space="preserve">) </w:t>
      </w:r>
      <w:r w:rsidR="00B4342E">
        <w:rPr>
          <w:lang w:val="sv-SE"/>
        </w:rPr>
        <w:t xml:space="preserve">to ETSI requesting to </w:t>
      </w:r>
      <w:r w:rsidR="0060685D">
        <w:rPr>
          <w:lang w:val="sv-SE"/>
        </w:rPr>
        <w:t>”</w:t>
      </w:r>
      <w:r w:rsidR="00B4342E">
        <w:rPr>
          <w:lang w:val="sv-SE"/>
        </w:rPr>
        <w:t xml:space="preserve">update </w:t>
      </w:r>
      <w:r w:rsidR="007B52BE" w:rsidRPr="007B52BE">
        <w:rPr>
          <w:lang w:val="sv-SE"/>
        </w:rPr>
        <w:t>the relevant MFCN BS Harmonised European Standards (potentially as a specific receiver class) with respect to band 1 BS receiver characteristics in 1900-1910 MHz</w:t>
      </w:r>
      <w:r w:rsidR="0060685D">
        <w:rPr>
          <w:lang w:val="sv-SE"/>
        </w:rPr>
        <w:t>”</w:t>
      </w:r>
      <w:r w:rsidR="007B52BE" w:rsidRPr="007B52BE">
        <w:rPr>
          <w:lang w:val="sv-SE"/>
        </w:rPr>
        <w:t>.</w:t>
      </w:r>
    </w:p>
    <w:p w14:paraId="5F3F6E7D" w14:textId="77777777" w:rsidR="00A93C1C" w:rsidRPr="007B52BE" w:rsidRDefault="00A93C1C" w:rsidP="007B52BE">
      <w:pPr>
        <w:pStyle w:val="NoSpacing"/>
        <w:jc w:val="both"/>
        <w:rPr>
          <w:lang w:val="sv-SE"/>
        </w:rPr>
      </w:pPr>
    </w:p>
    <w:p w14:paraId="75F303C2" w14:textId="530E357A" w:rsidR="00671A04" w:rsidRDefault="00671A04" w:rsidP="00671A04">
      <w:r w:rsidRPr="00E955EE">
        <w:rPr>
          <w:rFonts w:eastAsia="MS Mincho"/>
          <w:b/>
          <w:bCs/>
          <w:lang w:val="sv-SE" w:eastAsia="ja-JP"/>
        </w:rPr>
        <w:t>Observation</w:t>
      </w:r>
      <w:r w:rsidR="00F65D26">
        <w:rPr>
          <w:rFonts w:eastAsia="MS Mincho"/>
          <w:b/>
          <w:bCs/>
          <w:lang w:val="sv-SE" w:eastAsia="ja-JP"/>
        </w:rPr>
        <w:t>10</w:t>
      </w:r>
      <w:r w:rsidRPr="00E955EE">
        <w:rPr>
          <w:rFonts w:eastAsia="MS Mincho"/>
          <w:b/>
          <w:bCs/>
          <w:lang w:val="sv-SE" w:eastAsia="ja-JP"/>
        </w:rPr>
        <w:t>: CEPT requested ETSI to update the relevant European Harmonized Standards to consider the assumed MFCN BS enhanced selectivity.</w:t>
      </w:r>
      <w:r>
        <w:rPr>
          <w:rFonts w:eastAsia="MS Mincho"/>
          <w:b/>
          <w:bCs/>
          <w:lang w:val="sv-SE" w:eastAsia="ja-JP"/>
        </w:rPr>
        <w:t xml:space="preserve"> </w:t>
      </w:r>
    </w:p>
    <w:p w14:paraId="36115BF8" w14:textId="000DC796" w:rsidR="00AA6266" w:rsidRDefault="00AA6266" w:rsidP="003B7B57">
      <w:r>
        <w:rPr>
          <w:rFonts w:eastAsia="MS Mincho"/>
          <w:lang w:val="sv-SE" w:eastAsia="ja-JP"/>
        </w:rPr>
        <w:t xml:space="preserve">After further analysis, as this </w:t>
      </w:r>
      <w:r w:rsidR="00454FA3">
        <w:rPr>
          <w:rFonts w:eastAsia="MS Mincho"/>
          <w:lang w:val="sv-SE" w:eastAsia="ja-JP"/>
        </w:rPr>
        <w:t xml:space="preserve">was </w:t>
      </w:r>
      <w:r w:rsidR="00671720">
        <w:rPr>
          <w:rFonts w:eastAsia="MS Mincho"/>
          <w:lang w:val="sv-SE" w:eastAsia="ja-JP"/>
        </w:rPr>
        <w:t xml:space="preserve">a requirement </w:t>
      </w:r>
      <w:r w:rsidR="00670CBC">
        <w:rPr>
          <w:rFonts w:eastAsia="MS Mincho"/>
          <w:lang w:val="sv-SE" w:eastAsia="ja-JP"/>
        </w:rPr>
        <w:t xml:space="preserve">related to deployment </w:t>
      </w:r>
      <w:r w:rsidR="00454FA3">
        <w:rPr>
          <w:rFonts w:eastAsia="MS Mincho"/>
          <w:lang w:val="sv-SE" w:eastAsia="ja-JP"/>
        </w:rPr>
        <w:t>(</w:t>
      </w:r>
      <w:r w:rsidR="00670CBC">
        <w:rPr>
          <w:rFonts w:eastAsia="MS Mincho"/>
          <w:lang w:val="sv-SE" w:eastAsia="ja-JP"/>
        </w:rPr>
        <w:t xml:space="preserve">only applicable to </w:t>
      </w:r>
      <w:r>
        <w:rPr>
          <w:rFonts w:eastAsia="MS Mincho"/>
          <w:lang w:val="sv-SE" w:eastAsia="ja-JP"/>
        </w:rPr>
        <w:t xml:space="preserve">BS </w:t>
      </w:r>
      <w:r w:rsidR="005206A6">
        <w:rPr>
          <w:rFonts w:eastAsia="MS Mincho"/>
          <w:lang w:val="sv-SE" w:eastAsia="ja-JP"/>
        </w:rPr>
        <w:t xml:space="preserve">operating close by a </w:t>
      </w:r>
      <w:r w:rsidR="005346F7">
        <w:rPr>
          <w:rFonts w:eastAsia="MS Mincho"/>
          <w:lang w:val="sv-SE" w:eastAsia="ja-JP"/>
        </w:rPr>
        <w:t>FRMCS</w:t>
      </w:r>
      <w:r w:rsidR="005206A6">
        <w:rPr>
          <w:rFonts w:eastAsia="MS Mincho"/>
          <w:lang w:val="sv-SE" w:eastAsia="ja-JP"/>
        </w:rPr>
        <w:t xml:space="preserve"> area</w:t>
      </w:r>
      <w:r w:rsidR="00454FA3">
        <w:rPr>
          <w:rFonts w:eastAsia="MS Mincho"/>
          <w:lang w:val="sv-SE" w:eastAsia="ja-JP"/>
        </w:rPr>
        <w:t xml:space="preserve">, </w:t>
      </w:r>
      <w:r w:rsidR="0043574E">
        <w:rPr>
          <w:rFonts w:eastAsia="MS Mincho"/>
          <w:lang w:val="sv-SE" w:eastAsia="ja-JP"/>
        </w:rPr>
        <w:t>in the case of</w:t>
      </w:r>
      <w:r w:rsidR="00454FA3">
        <w:rPr>
          <w:rFonts w:eastAsia="MS Mincho"/>
          <w:lang w:val="sv-SE" w:eastAsia="ja-JP"/>
        </w:rPr>
        <w:t xml:space="preserve"> un-coordinated deployment), </w:t>
      </w:r>
      <w:r w:rsidR="007B44CF">
        <w:rPr>
          <w:rFonts w:eastAsia="MS Mincho"/>
          <w:lang w:val="sv-SE" w:eastAsia="ja-JP"/>
        </w:rPr>
        <w:t>such requirement</w:t>
      </w:r>
      <w:r w:rsidR="00454FA3">
        <w:rPr>
          <w:rFonts w:eastAsia="MS Mincho"/>
          <w:lang w:val="sv-SE" w:eastAsia="ja-JP"/>
        </w:rPr>
        <w:t xml:space="preserve"> could not be included in the Harmonized Standard. TFES decided then to add this </w:t>
      </w:r>
      <w:r w:rsidR="003D57EC">
        <w:rPr>
          <w:rFonts w:eastAsia="MS Mincho"/>
          <w:lang w:val="sv-SE" w:eastAsia="ja-JP"/>
        </w:rPr>
        <w:t xml:space="preserve">enhanced selectivity </w:t>
      </w:r>
      <w:r w:rsidR="00454FA3">
        <w:rPr>
          <w:rFonts w:eastAsia="MS Mincho"/>
          <w:lang w:val="sv-SE" w:eastAsia="ja-JP"/>
        </w:rPr>
        <w:t>requirement in a separate TS (</w:t>
      </w:r>
      <w:r w:rsidR="00711EF2">
        <w:rPr>
          <w:rFonts w:eastAsia="MS Mincho"/>
          <w:lang w:val="sv-SE" w:eastAsia="ja-JP"/>
        </w:rPr>
        <w:fldChar w:fldCharType="begin"/>
      </w:r>
      <w:r w:rsidR="00711EF2">
        <w:rPr>
          <w:rFonts w:eastAsia="MS Mincho"/>
          <w:lang w:val="sv-SE" w:eastAsia="ja-JP"/>
        </w:rPr>
        <w:instrText xml:space="preserve"> REF _Ref157097547 \r \h </w:instrText>
      </w:r>
      <w:r w:rsidR="00711EF2">
        <w:rPr>
          <w:rFonts w:eastAsia="MS Mincho"/>
          <w:lang w:val="sv-SE" w:eastAsia="ja-JP"/>
        </w:rPr>
      </w:r>
      <w:r w:rsidR="00711EF2">
        <w:rPr>
          <w:rFonts w:eastAsia="MS Mincho"/>
          <w:lang w:val="sv-SE" w:eastAsia="ja-JP"/>
        </w:rPr>
        <w:fldChar w:fldCharType="separate"/>
      </w:r>
      <w:r w:rsidR="00E055EE">
        <w:rPr>
          <w:rFonts w:eastAsia="MS Mincho"/>
          <w:lang w:val="sv-SE" w:eastAsia="ja-JP"/>
        </w:rPr>
        <w:t>[10]</w:t>
      </w:r>
      <w:r w:rsidR="00711EF2">
        <w:rPr>
          <w:rFonts w:eastAsia="MS Mincho"/>
          <w:lang w:val="sv-SE" w:eastAsia="ja-JP"/>
        </w:rPr>
        <w:fldChar w:fldCharType="end"/>
      </w:r>
      <w:r w:rsidR="00454FA3">
        <w:rPr>
          <w:rFonts w:eastAsia="MS Mincho"/>
          <w:lang w:val="sv-SE" w:eastAsia="ja-JP"/>
        </w:rPr>
        <w:t xml:space="preserve">) as a blocking requirement for </w:t>
      </w:r>
      <w:r w:rsidR="0060685D">
        <w:rPr>
          <w:rFonts w:eastAsia="MS Mincho"/>
          <w:lang w:val="sv-SE" w:eastAsia="ja-JP"/>
        </w:rPr>
        <w:t>”</w:t>
      </w:r>
      <w:r w:rsidR="004E0CEB">
        <w:rPr>
          <w:rFonts w:eastAsia="MS Mincho"/>
          <w:lang w:val="sv-SE" w:eastAsia="ja-JP"/>
        </w:rPr>
        <w:t>BS</w:t>
      </w:r>
      <w:r w:rsidR="003D57EC">
        <w:rPr>
          <w:rFonts w:eastAsia="MS Mincho"/>
          <w:lang w:val="sv-SE" w:eastAsia="ja-JP"/>
        </w:rPr>
        <w:t>s</w:t>
      </w:r>
      <w:r w:rsidR="004E0CEB">
        <w:rPr>
          <w:rFonts w:eastAsia="MS Mincho"/>
          <w:lang w:val="sv-SE" w:eastAsia="ja-JP"/>
        </w:rPr>
        <w:t xml:space="preserve"> </w:t>
      </w:r>
      <w:r w:rsidR="00ED78CF">
        <w:t>t</w:t>
      </w:r>
      <w:r w:rsidR="004E0CEB">
        <w:t>hat</w:t>
      </w:r>
      <w:r w:rsidR="00ED78CF">
        <w:t xml:space="preserve"> are intended to be deployed in close geographical proximity of FRMCS Base Stations unless mobile operators deem it is not necessary (noting that there may be a risk of interference from FRMCS)</w:t>
      </w:r>
      <w:r w:rsidR="0060685D">
        <w:t>”</w:t>
      </w:r>
      <w:r w:rsidR="00ED78CF">
        <w:t>.</w:t>
      </w:r>
    </w:p>
    <w:p w14:paraId="3ECDD591" w14:textId="54B6968C" w:rsidR="00671A04" w:rsidRDefault="00671A04" w:rsidP="003B7B57">
      <w:pPr>
        <w:rPr>
          <w:rFonts w:eastAsia="MS Mincho"/>
          <w:b/>
          <w:bCs/>
          <w:lang w:val="sv-SE" w:eastAsia="ja-JP"/>
        </w:rPr>
      </w:pPr>
      <w:r w:rsidRPr="00E955EE">
        <w:rPr>
          <w:rFonts w:eastAsia="MS Mincho"/>
          <w:b/>
          <w:bCs/>
          <w:lang w:val="sv-SE" w:eastAsia="ja-JP"/>
        </w:rPr>
        <w:lastRenderedPageBreak/>
        <w:t>Observation</w:t>
      </w:r>
      <w:r w:rsidR="000137CD">
        <w:rPr>
          <w:rFonts w:eastAsia="MS Mincho"/>
          <w:b/>
          <w:bCs/>
          <w:lang w:val="sv-SE" w:eastAsia="ja-JP"/>
        </w:rPr>
        <w:t>1</w:t>
      </w:r>
      <w:r w:rsidR="00F65D26">
        <w:rPr>
          <w:rFonts w:eastAsia="MS Mincho"/>
          <w:b/>
          <w:bCs/>
          <w:lang w:val="sv-SE" w:eastAsia="ja-JP"/>
        </w:rPr>
        <w:t>1</w:t>
      </w:r>
      <w:r w:rsidRPr="00E955EE">
        <w:rPr>
          <w:rFonts w:eastAsia="MS Mincho"/>
          <w:b/>
          <w:bCs/>
          <w:lang w:val="sv-SE" w:eastAsia="ja-JP"/>
        </w:rPr>
        <w:t xml:space="preserve">: </w:t>
      </w:r>
      <w:r>
        <w:rPr>
          <w:rFonts w:eastAsia="MS Mincho"/>
          <w:b/>
          <w:bCs/>
          <w:lang w:val="sv-SE" w:eastAsia="ja-JP"/>
        </w:rPr>
        <w:t xml:space="preserve">ETSI decided to </w:t>
      </w:r>
      <w:r w:rsidR="009C5549">
        <w:rPr>
          <w:rFonts w:eastAsia="MS Mincho"/>
          <w:b/>
          <w:bCs/>
          <w:lang w:val="sv-SE" w:eastAsia="ja-JP"/>
        </w:rPr>
        <w:t xml:space="preserve">convert </w:t>
      </w:r>
      <w:r>
        <w:rPr>
          <w:rFonts w:eastAsia="MS Mincho"/>
          <w:b/>
          <w:bCs/>
          <w:lang w:val="sv-SE" w:eastAsia="ja-JP"/>
        </w:rPr>
        <w:t xml:space="preserve">this enhanced selectivity </w:t>
      </w:r>
      <w:r w:rsidR="009C5549">
        <w:rPr>
          <w:rFonts w:eastAsia="MS Mincho"/>
          <w:b/>
          <w:bCs/>
          <w:lang w:val="sv-SE" w:eastAsia="ja-JP"/>
        </w:rPr>
        <w:t>in</w:t>
      </w:r>
      <w:r w:rsidR="00C32EE5">
        <w:rPr>
          <w:rFonts w:eastAsia="MS Mincho"/>
          <w:b/>
          <w:bCs/>
          <w:lang w:val="sv-SE" w:eastAsia="ja-JP"/>
        </w:rPr>
        <w:t xml:space="preserve"> a blocking requirement </w:t>
      </w:r>
      <w:r w:rsidR="009C5549">
        <w:rPr>
          <w:rFonts w:eastAsia="MS Mincho"/>
          <w:b/>
          <w:bCs/>
          <w:lang w:val="sv-SE" w:eastAsia="ja-JP"/>
        </w:rPr>
        <w:t xml:space="preserve">and add it </w:t>
      </w:r>
      <w:r>
        <w:rPr>
          <w:rFonts w:eastAsia="MS Mincho"/>
          <w:b/>
          <w:bCs/>
          <w:lang w:val="sv-SE" w:eastAsia="ja-JP"/>
        </w:rPr>
        <w:t>in a separate Technical Specification</w:t>
      </w:r>
      <w:r w:rsidR="00E61543">
        <w:rPr>
          <w:rFonts w:eastAsia="MS Mincho"/>
          <w:b/>
          <w:bCs/>
          <w:lang w:val="sv-SE" w:eastAsia="ja-JP"/>
        </w:rPr>
        <w:t>,</w:t>
      </w:r>
      <w:r w:rsidR="009C5549">
        <w:rPr>
          <w:rFonts w:eastAsia="MS Mincho"/>
          <w:b/>
          <w:bCs/>
          <w:lang w:val="sv-SE" w:eastAsia="ja-JP"/>
        </w:rPr>
        <w:t xml:space="preserve"> </w:t>
      </w:r>
      <w:r w:rsidR="00CC7196">
        <w:rPr>
          <w:rFonts w:eastAsia="MS Mincho"/>
          <w:b/>
          <w:bCs/>
          <w:lang w:val="sv-SE" w:eastAsia="ja-JP"/>
        </w:rPr>
        <w:t>warning about potential risk of interference</w:t>
      </w:r>
      <w:r>
        <w:rPr>
          <w:rFonts w:eastAsia="MS Mincho"/>
          <w:b/>
          <w:bCs/>
          <w:lang w:val="sv-SE" w:eastAsia="ja-JP"/>
        </w:rPr>
        <w:t>.</w:t>
      </w:r>
    </w:p>
    <w:p w14:paraId="2DFB392C" w14:textId="77777777" w:rsidR="00CB330E" w:rsidRDefault="00CB330E" w:rsidP="003B7B57"/>
    <w:p w14:paraId="7999A53D" w14:textId="7760BB99" w:rsidR="00852EBD" w:rsidRDefault="005952BF" w:rsidP="00711E05">
      <w:pPr>
        <w:pStyle w:val="Heading3"/>
        <w:rPr>
          <w:lang w:eastAsia="ja-JP"/>
        </w:rPr>
      </w:pPr>
      <w:r>
        <w:rPr>
          <w:lang w:eastAsia="ja-JP"/>
        </w:rPr>
        <w:t>RAN4</w:t>
      </w:r>
    </w:p>
    <w:p w14:paraId="5F326A76" w14:textId="61719C19" w:rsidR="00711E05" w:rsidRDefault="00D4636D" w:rsidP="003B7B57">
      <w:pPr>
        <w:rPr>
          <w:rFonts w:eastAsia="MS Mincho"/>
          <w:lang w:val="sv-SE" w:eastAsia="ja-JP"/>
        </w:rPr>
      </w:pPr>
      <w:r>
        <w:rPr>
          <w:rFonts w:eastAsia="MS Mincho"/>
          <w:lang w:val="sv-SE" w:eastAsia="ja-JP"/>
        </w:rPr>
        <w:t xml:space="preserve">The band n101 was specified assuming </w:t>
      </w:r>
      <w:r w:rsidR="00D425A9">
        <w:rPr>
          <w:rFonts w:eastAsia="MS Mincho"/>
          <w:lang w:val="sv-SE" w:eastAsia="ja-JP"/>
        </w:rPr>
        <w:t xml:space="preserve">uncoordinated </w:t>
      </w:r>
      <w:r>
        <w:rPr>
          <w:rFonts w:eastAsia="MS Mincho"/>
          <w:lang w:val="sv-SE" w:eastAsia="ja-JP"/>
        </w:rPr>
        <w:t xml:space="preserve"> </w:t>
      </w:r>
      <w:r w:rsidR="00D425A9">
        <w:rPr>
          <w:rFonts w:eastAsia="MS Mincho"/>
          <w:lang w:val="sv-SE" w:eastAsia="ja-JP"/>
        </w:rPr>
        <w:t xml:space="preserve">deployment as captured in </w:t>
      </w:r>
      <w:r w:rsidR="00542B24">
        <w:rPr>
          <w:rFonts w:eastAsia="MS Mincho"/>
          <w:lang w:val="sv-SE" w:eastAsia="ja-JP"/>
        </w:rPr>
        <w:t xml:space="preserve">the conclusion of </w:t>
      </w:r>
      <w:r w:rsidR="00D425A9">
        <w:rPr>
          <w:rFonts w:eastAsia="MS Mincho"/>
          <w:lang w:val="sv-SE" w:eastAsia="ja-JP"/>
        </w:rPr>
        <w:t>TR 38</w:t>
      </w:r>
      <w:r w:rsidR="00AD2445">
        <w:rPr>
          <w:rFonts w:eastAsia="MS Mincho"/>
          <w:lang w:val="sv-SE" w:eastAsia="ja-JP"/>
        </w:rPr>
        <w:t>.852 (</w:t>
      </w:r>
      <w:r w:rsidR="00711EF2">
        <w:rPr>
          <w:rFonts w:eastAsia="MS Mincho"/>
          <w:lang w:val="sv-SE" w:eastAsia="ja-JP"/>
        </w:rPr>
        <w:fldChar w:fldCharType="begin"/>
      </w:r>
      <w:r w:rsidR="00711EF2">
        <w:rPr>
          <w:rFonts w:eastAsia="MS Mincho"/>
          <w:lang w:val="sv-SE" w:eastAsia="ja-JP"/>
        </w:rPr>
        <w:instrText xml:space="preserve"> REF _Ref157097568 \r \h </w:instrText>
      </w:r>
      <w:r w:rsidR="00711EF2">
        <w:rPr>
          <w:rFonts w:eastAsia="MS Mincho"/>
          <w:lang w:val="sv-SE" w:eastAsia="ja-JP"/>
        </w:rPr>
      </w:r>
      <w:r w:rsidR="00711EF2">
        <w:rPr>
          <w:rFonts w:eastAsia="MS Mincho"/>
          <w:lang w:val="sv-SE" w:eastAsia="ja-JP"/>
        </w:rPr>
        <w:fldChar w:fldCharType="separate"/>
      </w:r>
      <w:r w:rsidR="00E055EE">
        <w:rPr>
          <w:rFonts w:eastAsia="MS Mincho"/>
          <w:lang w:val="sv-SE" w:eastAsia="ja-JP"/>
        </w:rPr>
        <w:t>[11]</w:t>
      </w:r>
      <w:r w:rsidR="00711EF2">
        <w:rPr>
          <w:rFonts w:eastAsia="MS Mincho"/>
          <w:lang w:val="sv-SE" w:eastAsia="ja-JP"/>
        </w:rPr>
        <w:fldChar w:fldCharType="end"/>
      </w:r>
      <w:r w:rsidR="00AD2445">
        <w:rPr>
          <w:rFonts w:eastAsia="MS Mincho"/>
          <w:lang w:val="sv-SE" w:eastAsia="ja-JP"/>
        </w:rPr>
        <w:t>)</w:t>
      </w:r>
      <w:r w:rsidR="0036743C">
        <w:rPr>
          <w:rFonts w:eastAsia="MS Mincho"/>
          <w:lang w:val="sv-SE" w:eastAsia="ja-JP"/>
        </w:rPr>
        <w:t>:</w:t>
      </w:r>
    </w:p>
    <w:p w14:paraId="1A7CCCC5" w14:textId="40391901" w:rsidR="00711E05" w:rsidRDefault="007E68EA" w:rsidP="003B7B57">
      <w:pPr>
        <w:rPr>
          <w:rFonts w:eastAsia="MS Mincho"/>
          <w:lang w:val="sv-SE" w:eastAsia="ja-JP"/>
        </w:rPr>
      </w:pPr>
      <w:r w:rsidRPr="007E68EA">
        <w:rPr>
          <w:rFonts w:eastAsia="MS Mincho"/>
          <w:noProof/>
          <w:lang w:val="sv-SE" w:eastAsia="ja-JP"/>
        </w:rPr>
        <w:drawing>
          <wp:inline distT="0" distB="0" distL="0" distR="0" wp14:anchorId="69811144" wp14:editId="3B86DDAD">
            <wp:extent cx="6122035" cy="556895"/>
            <wp:effectExtent l="152400" t="152400" r="354965" b="3575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2035" cy="556895"/>
                    </a:xfrm>
                    <a:prstGeom prst="rect">
                      <a:avLst/>
                    </a:prstGeom>
                    <a:ln>
                      <a:noFill/>
                    </a:ln>
                    <a:effectLst>
                      <a:outerShdw blurRad="292100" dist="139700" dir="2700000" algn="tl" rotWithShape="0">
                        <a:srgbClr val="333333">
                          <a:alpha val="65000"/>
                        </a:srgbClr>
                      </a:outerShdw>
                    </a:effectLst>
                  </pic:spPr>
                </pic:pic>
              </a:graphicData>
            </a:graphic>
          </wp:inline>
        </w:drawing>
      </w:r>
    </w:p>
    <w:p w14:paraId="60483A9B" w14:textId="12E13E65" w:rsidR="00711E05" w:rsidRDefault="0036743C" w:rsidP="003B7B57">
      <w:pPr>
        <w:rPr>
          <w:rFonts w:eastAsia="MS Mincho"/>
          <w:lang w:val="sv-SE" w:eastAsia="ja-JP"/>
        </w:rPr>
      </w:pPr>
      <w:r>
        <w:rPr>
          <w:rFonts w:eastAsia="MS Mincho"/>
          <w:lang w:val="sv-SE" w:eastAsia="ja-JP"/>
        </w:rPr>
        <w:t xml:space="preserve">The maximum </w:t>
      </w:r>
      <w:r w:rsidR="00204164">
        <w:rPr>
          <w:rFonts w:eastAsia="MS Mincho"/>
          <w:lang w:val="sv-SE" w:eastAsia="ja-JP"/>
        </w:rPr>
        <w:t>BS output power for n101 was then specified assuming uncoordinated deployment</w:t>
      </w:r>
      <w:r w:rsidR="00904964">
        <w:rPr>
          <w:rFonts w:eastAsia="MS Mincho"/>
          <w:lang w:val="sv-SE" w:eastAsia="ja-JP"/>
        </w:rPr>
        <w:t xml:space="preserve"> (UIC request)</w:t>
      </w:r>
      <w:r w:rsidR="00204164">
        <w:rPr>
          <w:rFonts w:eastAsia="MS Mincho"/>
          <w:lang w:val="sv-SE" w:eastAsia="ja-JP"/>
        </w:rPr>
        <w:t xml:space="preserve">, </w:t>
      </w:r>
      <w:r w:rsidR="004E08DC">
        <w:rPr>
          <w:rFonts w:eastAsia="MS Mincho"/>
          <w:lang w:val="sv-SE" w:eastAsia="ja-JP"/>
        </w:rPr>
        <w:t>based on</w:t>
      </w:r>
      <w:r w:rsidR="002A741F">
        <w:rPr>
          <w:rFonts w:eastAsia="MS Mincho"/>
          <w:lang w:val="sv-SE" w:eastAsia="ja-JP"/>
        </w:rPr>
        <w:t xml:space="preserve"> a corresponding EIR</w:t>
      </w:r>
      <w:r w:rsidR="004B48DE">
        <w:rPr>
          <w:rFonts w:eastAsia="MS Mincho"/>
          <w:lang w:val="sv-SE" w:eastAsia="ja-JP"/>
        </w:rPr>
        <w:t>P</w:t>
      </w:r>
      <w:r w:rsidR="002A741F">
        <w:rPr>
          <w:rFonts w:eastAsia="MS Mincho"/>
          <w:lang w:val="sv-SE" w:eastAsia="ja-JP"/>
        </w:rPr>
        <w:t xml:space="preserve"> value of 65 dBm as specified in ECC Decision(20)02.</w:t>
      </w:r>
      <w:r w:rsidR="0057148D">
        <w:rPr>
          <w:rFonts w:eastAsia="MS Mincho"/>
          <w:lang w:val="sv-SE" w:eastAsia="ja-JP"/>
        </w:rPr>
        <w:t xml:space="preserve"> It should be noted that there is </w:t>
      </w:r>
      <w:r w:rsidR="004B48DE">
        <w:rPr>
          <w:rFonts w:eastAsia="MS Mincho"/>
          <w:lang w:val="sv-SE" w:eastAsia="ja-JP"/>
        </w:rPr>
        <w:t xml:space="preserve">ongoing discussion to </w:t>
      </w:r>
      <w:r w:rsidR="00830CF2">
        <w:rPr>
          <w:rFonts w:eastAsia="MS Mincho"/>
          <w:lang w:val="sv-SE" w:eastAsia="ja-JP"/>
        </w:rPr>
        <w:t>reconsider</w:t>
      </w:r>
      <w:r w:rsidR="004B48DE">
        <w:rPr>
          <w:rFonts w:eastAsia="MS Mincho"/>
          <w:lang w:val="sv-SE" w:eastAsia="ja-JP"/>
        </w:rPr>
        <w:t xml:space="preserve"> this </w:t>
      </w:r>
      <w:r w:rsidR="00830CF2">
        <w:rPr>
          <w:rFonts w:eastAsia="MS Mincho"/>
          <w:lang w:val="sv-SE" w:eastAsia="ja-JP"/>
        </w:rPr>
        <w:t xml:space="preserve">BS output power limitation </w:t>
      </w:r>
      <w:r w:rsidR="004B48DE">
        <w:rPr>
          <w:rFonts w:eastAsia="MS Mincho"/>
          <w:lang w:val="sv-SE" w:eastAsia="ja-JP"/>
        </w:rPr>
        <w:t>requirement</w:t>
      </w:r>
      <w:r w:rsidR="00830CF2">
        <w:rPr>
          <w:rFonts w:eastAsia="MS Mincho"/>
          <w:lang w:val="sv-SE" w:eastAsia="ja-JP"/>
        </w:rPr>
        <w:t xml:space="preserve"> in the 3GPP specifications</w:t>
      </w:r>
      <w:r w:rsidR="004B48DE">
        <w:rPr>
          <w:rFonts w:eastAsia="MS Mincho"/>
          <w:lang w:val="sv-SE" w:eastAsia="ja-JP"/>
        </w:rPr>
        <w:t xml:space="preserve">, </w:t>
      </w:r>
      <w:r w:rsidR="00071115">
        <w:rPr>
          <w:rFonts w:eastAsia="MS Mincho"/>
          <w:lang w:val="sv-SE" w:eastAsia="ja-JP"/>
        </w:rPr>
        <w:t>on the request of UIC and CEPT (</w:t>
      </w:r>
      <w:r w:rsidR="00A67098">
        <w:rPr>
          <w:rFonts w:eastAsia="MS Mincho"/>
          <w:lang w:val="sv-SE" w:eastAsia="ja-JP"/>
        </w:rPr>
        <w:fldChar w:fldCharType="begin"/>
      </w:r>
      <w:r w:rsidR="00A67098">
        <w:rPr>
          <w:rFonts w:eastAsia="MS Mincho"/>
          <w:lang w:val="sv-SE" w:eastAsia="ja-JP"/>
        </w:rPr>
        <w:instrText xml:space="preserve"> REF _Ref158626324 \r \h </w:instrText>
      </w:r>
      <w:r w:rsidR="00A67098">
        <w:rPr>
          <w:rFonts w:eastAsia="MS Mincho"/>
          <w:lang w:val="sv-SE" w:eastAsia="ja-JP"/>
        </w:rPr>
      </w:r>
      <w:r w:rsidR="00A67098">
        <w:rPr>
          <w:rFonts w:eastAsia="MS Mincho"/>
          <w:lang w:val="sv-SE" w:eastAsia="ja-JP"/>
        </w:rPr>
        <w:fldChar w:fldCharType="separate"/>
      </w:r>
      <w:r w:rsidR="00A67098">
        <w:rPr>
          <w:rFonts w:eastAsia="MS Mincho"/>
          <w:lang w:val="sv-SE" w:eastAsia="ja-JP"/>
        </w:rPr>
        <w:t>[12]</w:t>
      </w:r>
      <w:r w:rsidR="00A67098">
        <w:rPr>
          <w:rFonts w:eastAsia="MS Mincho"/>
          <w:lang w:val="sv-SE" w:eastAsia="ja-JP"/>
        </w:rPr>
        <w:fldChar w:fldCharType="end"/>
      </w:r>
      <w:r w:rsidR="00071115">
        <w:rPr>
          <w:rFonts w:eastAsia="MS Mincho"/>
          <w:lang w:val="sv-SE" w:eastAsia="ja-JP"/>
        </w:rPr>
        <w:t>).</w:t>
      </w:r>
    </w:p>
    <w:p w14:paraId="28A8E413" w14:textId="353FF77F" w:rsidR="003C36FB" w:rsidRDefault="003C36FB" w:rsidP="003B7B57">
      <w:pPr>
        <w:rPr>
          <w:rFonts w:eastAsia="MS Mincho"/>
          <w:b/>
          <w:bCs/>
          <w:lang w:val="sv-SE" w:eastAsia="ja-JP"/>
        </w:rPr>
      </w:pPr>
      <w:r w:rsidRPr="003C36FB">
        <w:rPr>
          <w:rFonts w:eastAsia="MS Mincho"/>
          <w:b/>
          <w:bCs/>
          <w:lang w:val="sv-SE" w:eastAsia="ja-JP"/>
        </w:rPr>
        <w:t>Observation1</w:t>
      </w:r>
      <w:r w:rsidR="00F65D26">
        <w:rPr>
          <w:rFonts w:eastAsia="MS Mincho"/>
          <w:b/>
          <w:bCs/>
          <w:lang w:val="sv-SE" w:eastAsia="ja-JP"/>
        </w:rPr>
        <w:t>2</w:t>
      </w:r>
      <w:r w:rsidRPr="003C36FB">
        <w:rPr>
          <w:rFonts w:eastAsia="MS Mincho"/>
          <w:b/>
          <w:bCs/>
          <w:lang w:val="sv-SE" w:eastAsia="ja-JP"/>
        </w:rPr>
        <w:t xml:space="preserve">: The band n101 was specified </w:t>
      </w:r>
      <w:r w:rsidR="00AE10B4">
        <w:rPr>
          <w:rFonts w:eastAsia="MS Mincho"/>
          <w:b/>
          <w:bCs/>
          <w:lang w:val="sv-SE" w:eastAsia="ja-JP"/>
        </w:rPr>
        <w:t>following</w:t>
      </w:r>
      <w:r w:rsidRPr="003C36FB">
        <w:rPr>
          <w:rFonts w:eastAsia="MS Mincho"/>
          <w:b/>
          <w:bCs/>
          <w:lang w:val="sv-SE" w:eastAsia="ja-JP"/>
        </w:rPr>
        <w:t xml:space="preserve"> ECC Decision(20)02</w:t>
      </w:r>
      <w:r w:rsidR="00AE10B4">
        <w:rPr>
          <w:rFonts w:eastAsia="MS Mincho"/>
          <w:b/>
          <w:bCs/>
          <w:lang w:val="sv-SE" w:eastAsia="ja-JP"/>
        </w:rPr>
        <w:t xml:space="preserve"> and assuming uncoordinated deployment</w:t>
      </w:r>
      <w:r w:rsidRPr="003C36FB">
        <w:rPr>
          <w:rFonts w:eastAsia="MS Mincho"/>
          <w:b/>
          <w:bCs/>
          <w:lang w:val="sv-SE" w:eastAsia="ja-JP"/>
        </w:rPr>
        <w:t>.</w:t>
      </w:r>
    </w:p>
    <w:p w14:paraId="6B29C2EC" w14:textId="77777777" w:rsidR="00CB330E" w:rsidRPr="003C36FB" w:rsidRDefault="00CB330E" w:rsidP="003B7B57">
      <w:pPr>
        <w:rPr>
          <w:rFonts w:eastAsia="MS Mincho"/>
          <w:b/>
          <w:bCs/>
          <w:lang w:val="sv-SE" w:eastAsia="ja-JP"/>
        </w:rPr>
      </w:pPr>
    </w:p>
    <w:p w14:paraId="570519EF" w14:textId="6F741C34" w:rsidR="00FC3D2C" w:rsidRDefault="00FC3D2C" w:rsidP="00FC3D2C">
      <w:pPr>
        <w:pStyle w:val="Heading3"/>
        <w:rPr>
          <w:lang w:eastAsia="ja-JP"/>
        </w:rPr>
      </w:pPr>
      <w:r>
        <w:rPr>
          <w:lang w:eastAsia="ja-JP"/>
        </w:rPr>
        <w:t>RAN task</w:t>
      </w:r>
    </w:p>
    <w:p w14:paraId="7DDB56BB" w14:textId="302A8F64" w:rsidR="00642409" w:rsidRDefault="007E023A" w:rsidP="003B7B57">
      <w:pPr>
        <w:rPr>
          <w:rFonts w:eastAsia="MS Mincho"/>
          <w:lang w:val="sv-SE" w:eastAsia="ja-JP"/>
        </w:rPr>
      </w:pPr>
      <w:r>
        <w:rPr>
          <w:rFonts w:eastAsia="MS Mincho"/>
          <w:lang w:val="sv-SE" w:eastAsia="ja-JP"/>
        </w:rPr>
        <w:t xml:space="preserve">In their studies, </w:t>
      </w:r>
      <w:r w:rsidR="009162AD">
        <w:rPr>
          <w:rFonts w:eastAsia="MS Mincho"/>
          <w:lang w:val="sv-SE" w:eastAsia="ja-JP"/>
        </w:rPr>
        <w:t>CEPT recognize</w:t>
      </w:r>
      <w:r w:rsidR="00B2348B">
        <w:rPr>
          <w:rFonts w:eastAsia="MS Mincho"/>
          <w:lang w:val="sv-SE" w:eastAsia="ja-JP"/>
        </w:rPr>
        <w:t>d</w:t>
      </w:r>
      <w:r w:rsidR="009162AD">
        <w:rPr>
          <w:rFonts w:eastAsia="MS Mincho"/>
          <w:lang w:val="sv-SE" w:eastAsia="ja-JP"/>
        </w:rPr>
        <w:t xml:space="preserve"> (Report 318) that </w:t>
      </w:r>
      <w:r w:rsidR="00194EA6">
        <w:rPr>
          <w:rFonts w:eastAsia="MS Mincho"/>
          <w:lang w:val="sv-SE" w:eastAsia="ja-JP"/>
        </w:rPr>
        <w:t xml:space="preserve">the EIRP limit of </w:t>
      </w:r>
      <w:r w:rsidR="009162AD">
        <w:rPr>
          <w:rFonts w:eastAsia="MS Mincho"/>
          <w:lang w:val="sv-SE" w:eastAsia="ja-JP"/>
        </w:rPr>
        <w:t>65 dBm</w:t>
      </w:r>
      <w:r w:rsidR="00194EA6">
        <w:rPr>
          <w:rFonts w:eastAsia="MS Mincho"/>
          <w:lang w:val="sv-SE" w:eastAsia="ja-JP"/>
        </w:rPr>
        <w:t xml:space="preserve"> may result in interference </w:t>
      </w:r>
      <w:r w:rsidR="00B8251D">
        <w:rPr>
          <w:rFonts w:eastAsia="MS Mincho"/>
          <w:lang w:val="sv-SE" w:eastAsia="ja-JP"/>
        </w:rPr>
        <w:t xml:space="preserve">to MFCN BS </w:t>
      </w:r>
      <w:r w:rsidR="00576F48">
        <w:rPr>
          <w:rFonts w:eastAsia="MS Mincho"/>
          <w:lang w:val="sv-SE" w:eastAsia="ja-JP"/>
        </w:rPr>
        <w:t>located</w:t>
      </w:r>
      <w:r w:rsidR="00B8251D">
        <w:rPr>
          <w:rFonts w:eastAsia="MS Mincho"/>
          <w:lang w:val="sv-SE" w:eastAsia="ja-JP"/>
        </w:rPr>
        <w:t xml:space="preserve"> close by a FRMCS site</w:t>
      </w:r>
      <w:r w:rsidR="003E58AE">
        <w:rPr>
          <w:rFonts w:eastAsia="MS Mincho"/>
          <w:lang w:val="sv-SE" w:eastAsia="ja-JP"/>
        </w:rPr>
        <w:t xml:space="preserve"> </w:t>
      </w:r>
      <w:r w:rsidR="00864692">
        <w:rPr>
          <w:rFonts w:eastAsia="MS Mincho"/>
          <w:lang w:val="sv-SE" w:eastAsia="ja-JP"/>
        </w:rPr>
        <w:t>when no coordination</w:t>
      </w:r>
      <w:r w:rsidR="00590149">
        <w:rPr>
          <w:rFonts w:eastAsia="MS Mincho"/>
          <w:lang w:val="sv-SE" w:eastAsia="ja-JP"/>
        </w:rPr>
        <w:t xml:space="preserve"> nor</w:t>
      </w:r>
      <w:r w:rsidR="006C4D26">
        <w:rPr>
          <w:rFonts w:eastAsia="MS Mincho"/>
          <w:lang w:val="sv-SE" w:eastAsia="ja-JP"/>
        </w:rPr>
        <w:t xml:space="preserve"> </w:t>
      </w:r>
      <w:r w:rsidR="00486F64">
        <w:rPr>
          <w:rFonts w:eastAsia="MS Mincho"/>
          <w:lang w:val="sv-SE" w:eastAsia="ja-JP"/>
        </w:rPr>
        <w:t>mit</w:t>
      </w:r>
      <w:r w:rsidR="00864692">
        <w:rPr>
          <w:rFonts w:eastAsia="MS Mincho"/>
          <w:lang w:val="sv-SE" w:eastAsia="ja-JP"/>
        </w:rPr>
        <w:t>i</w:t>
      </w:r>
      <w:r w:rsidR="00486F64">
        <w:rPr>
          <w:rFonts w:eastAsia="MS Mincho"/>
          <w:lang w:val="sv-SE" w:eastAsia="ja-JP"/>
        </w:rPr>
        <w:t>gation technique is considered</w:t>
      </w:r>
      <w:r w:rsidR="00590149">
        <w:rPr>
          <w:rFonts w:eastAsia="MS Mincho"/>
          <w:lang w:val="sv-SE" w:eastAsia="ja-JP"/>
        </w:rPr>
        <w:t xml:space="preserve">, </w:t>
      </w:r>
      <w:r w:rsidR="00812A86">
        <w:rPr>
          <w:rFonts w:eastAsia="MS Mincho"/>
          <w:lang w:val="sv-SE" w:eastAsia="ja-JP"/>
        </w:rPr>
        <w:t xml:space="preserve">and this </w:t>
      </w:r>
      <w:r w:rsidR="00BC6E42">
        <w:rPr>
          <w:rFonts w:eastAsia="MS Mincho"/>
          <w:lang w:val="sv-SE" w:eastAsia="ja-JP"/>
        </w:rPr>
        <w:t>if no additional filter is added to those MFCN BS.</w:t>
      </w:r>
    </w:p>
    <w:p w14:paraId="058FEC26" w14:textId="1B7FAF86" w:rsidR="00CB05AB" w:rsidRDefault="00812A86" w:rsidP="00417185">
      <w:pPr>
        <w:rPr>
          <w:lang w:val="sv-SE" w:eastAsia="ja-JP"/>
        </w:rPr>
      </w:pPr>
      <w:r>
        <w:rPr>
          <w:lang w:val="sv-SE" w:eastAsia="ja-JP"/>
        </w:rPr>
        <w:t>It shoul</w:t>
      </w:r>
      <w:r w:rsidR="007B0BB2">
        <w:rPr>
          <w:lang w:val="sv-SE" w:eastAsia="ja-JP"/>
        </w:rPr>
        <w:t>d</w:t>
      </w:r>
      <w:r w:rsidR="002E1497">
        <w:rPr>
          <w:lang w:val="sv-SE" w:eastAsia="ja-JP"/>
        </w:rPr>
        <w:t xml:space="preserve"> </w:t>
      </w:r>
      <w:r>
        <w:rPr>
          <w:lang w:val="sv-SE" w:eastAsia="ja-JP"/>
        </w:rPr>
        <w:t xml:space="preserve">be noted that </w:t>
      </w:r>
      <w:r w:rsidR="00830516">
        <w:rPr>
          <w:lang w:val="sv-SE" w:eastAsia="ja-JP"/>
        </w:rPr>
        <w:t xml:space="preserve">Administations might even consider higher FRMCS EIRP </w:t>
      </w:r>
      <w:r w:rsidR="00EA4BEE">
        <w:rPr>
          <w:lang w:val="sv-SE" w:eastAsia="ja-JP"/>
        </w:rPr>
        <w:t xml:space="preserve">value </w:t>
      </w:r>
      <w:r w:rsidR="00830516">
        <w:rPr>
          <w:lang w:val="sv-SE" w:eastAsia="ja-JP"/>
        </w:rPr>
        <w:t>but then coordination or other mitigation measures are required (ECC Decision</w:t>
      </w:r>
      <w:r w:rsidR="00B96583">
        <w:rPr>
          <w:lang w:val="sv-SE" w:eastAsia="ja-JP"/>
        </w:rPr>
        <w:t xml:space="preserve"> </w:t>
      </w:r>
      <w:r w:rsidR="00B96583">
        <w:rPr>
          <w:lang w:val="sv-SE" w:eastAsia="ja-JP"/>
        </w:rPr>
        <w:fldChar w:fldCharType="begin"/>
      </w:r>
      <w:r w:rsidR="00B96583">
        <w:rPr>
          <w:lang w:val="sv-SE" w:eastAsia="ja-JP"/>
        </w:rPr>
        <w:instrText xml:space="preserve"> REF _Ref157097527 \r \h </w:instrText>
      </w:r>
      <w:r w:rsidR="00B96583">
        <w:rPr>
          <w:lang w:val="sv-SE" w:eastAsia="ja-JP"/>
        </w:rPr>
      </w:r>
      <w:r w:rsidR="00B96583">
        <w:rPr>
          <w:lang w:val="sv-SE" w:eastAsia="ja-JP"/>
        </w:rPr>
        <w:fldChar w:fldCharType="separate"/>
      </w:r>
      <w:r w:rsidR="00E055EE">
        <w:rPr>
          <w:lang w:val="sv-SE" w:eastAsia="ja-JP"/>
        </w:rPr>
        <w:t>[7]</w:t>
      </w:r>
      <w:r w:rsidR="00B96583">
        <w:rPr>
          <w:lang w:val="sv-SE" w:eastAsia="ja-JP"/>
        </w:rPr>
        <w:fldChar w:fldCharType="end"/>
      </w:r>
      <w:r w:rsidR="00830516">
        <w:rPr>
          <w:lang w:val="sv-SE" w:eastAsia="ja-JP"/>
        </w:rPr>
        <w:t>).</w:t>
      </w:r>
    </w:p>
    <w:p w14:paraId="64AC86D4" w14:textId="2924D86F" w:rsidR="007D66AB" w:rsidRDefault="00417185" w:rsidP="00417185">
      <w:pPr>
        <w:rPr>
          <w:lang w:val="sv-SE" w:eastAsia="ja-JP"/>
        </w:rPr>
      </w:pPr>
      <w:r w:rsidRPr="00417185">
        <w:rPr>
          <w:lang w:val="sv-SE" w:eastAsia="ja-JP"/>
        </w:rPr>
        <w:t>Th</w:t>
      </w:r>
      <w:r w:rsidR="001659E8">
        <w:rPr>
          <w:lang w:val="sv-SE" w:eastAsia="ja-JP"/>
        </w:rPr>
        <w:t>e</w:t>
      </w:r>
      <w:r w:rsidRPr="00417185">
        <w:rPr>
          <w:lang w:val="sv-SE" w:eastAsia="ja-JP"/>
        </w:rPr>
        <w:t xml:space="preserve"> 65dBm EIRP limit (10 MHz) was set by CEPT </w:t>
      </w:r>
      <w:r w:rsidR="002A5319">
        <w:rPr>
          <w:lang w:val="sv-SE" w:eastAsia="ja-JP"/>
        </w:rPr>
        <w:t xml:space="preserve">to enable FRMCS macro deployment, </w:t>
      </w:r>
      <w:r w:rsidRPr="00417185">
        <w:rPr>
          <w:lang w:val="sv-SE" w:eastAsia="ja-JP"/>
        </w:rPr>
        <w:t xml:space="preserve">assuming an enhanced selectivity of the MFCN BS operating in band n1 when they </w:t>
      </w:r>
      <w:r w:rsidR="00363781">
        <w:rPr>
          <w:lang w:val="sv-SE" w:eastAsia="ja-JP"/>
        </w:rPr>
        <w:t>are located</w:t>
      </w:r>
      <w:r w:rsidRPr="00417185">
        <w:rPr>
          <w:lang w:val="sv-SE" w:eastAsia="ja-JP"/>
        </w:rPr>
        <w:t xml:space="preserve"> in the vicinity of RMR BS. </w:t>
      </w:r>
      <w:r w:rsidR="00F70E40">
        <w:rPr>
          <w:lang w:val="sv-SE" w:eastAsia="ja-JP"/>
        </w:rPr>
        <w:t xml:space="preserve">This enhanced selectivity is </w:t>
      </w:r>
      <w:r w:rsidR="007D66AB" w:rsidRPr="00417185">
        <w:rPr>
          <w:lang w:val="sv-SE" w:eastAsia="ja-JP"/>
        </w:rPr>
        <w:t>22.5 dB higher compared to TS 37.104</w:t>
      </w:r>
      <w:r w:rsidR="00F70E40">
        <w:rPr>
          <w:lang w:val="sv-SE" w:eastAsia="ja-JP"/>
        </w:rPr>
        <w:t xml:space="preserve">. </w:t>
      </w:r>
    </w:p>
    <w:p w14:paraId="46A69F8D" w14:textId="4490A130" w:rsidR="00B40953" w:rsidRDefault="009E5B51" w:rsidP="00417185">
      <w:pPr>
        <w:rPr>
          <w:lang w:val="sv-SE" w:eastAsia="ja-JP"/>
        </w:rPr>
      </w:pPr>
      <w:r>
        <w:rPr>
          <w:lang w:val="sv-SE" w:eastAsia="ja-JP"/>
        </w:rPr>
        <w:t>E</w:t>
      </w:r>
      <w:r w:rsidR="00363781">
        <w:rPr>
          <w:lang w:val="sv-SE" w:eastAsia="ja-JP"/>
        </w:rPr>
        <w:t xml:space="preserve">ven </w:t>
      </w:r>
      <w:r w:rsidR="00EC6D2D">
        <w:rPr>
          <w:lang w:val="sv-SE" w:eastAsia="ja-JP"/>
        </w:rPr>
        <w:t xml:space="preserve">when </w:t>
      </w:r>
      <w:r w:rsidR="00417185" w:rsidRPr="00417185">
        <w:rPr>
          <w:lang w:val="sv-SE" w:eastAsia="ja-JP"/>
        </w:rPr>
        <w:t xml:space="preserve">assuming </w:t>
      </w:r>
      <w:r w:rsidR="00EC6D2D">
        <w:rPr>
          <w:lang w:val="sv-SE" w:eastAsia="ja-JP"/>
        </w:rPr>
        <w:t>a lower</w:t>
      </w:r>
      <w:r w:rsidR="00417185" w:rsidRPr="00417185">
        <w:rPr>
          <w:lang w:val="sv-SE" w:eastAsia="ja-JP"/>
        </w:rPr>
        <w:t xml:space="preserve"> </w:t>
      </w:r>
      <w:r w:rsidR="00EC6D2D">
        <w:rPr>
          <w:lang w:val="sv-SE" w:eastAsia="ja-JP"/>
        </w:rPr>
        <w:t>”</w:t>
      </w:r>
      <w:r w:rsidR="00417185" w:rsidRPr="00417185">
        <w:rPr>
          <w:lang w:val="sv-SE" w:eastAsia="ja-JP"/>
        </w:rPr>
        <w:t>enchanced</w:t>
      </w:r>
      <w:r w:rsidR="00EC6D2D">
        <w:rPr>
          <w:lang w:val="sv-SE" w:eastAsia="ja-JP"/>
        </w:rPr>
        <w:t>”</w:t>
      </w:r>
      <w:r w:rsidR="00417185" w:rsidRPr="00417185">
        <w:rPr>
          <w:lang w:val="sv-SE" w:eastAsia="ja-JP"/>
        </w:rPr>
        <w:t xml:space="preserve"> selectivity from ECC Report 39 (still 16dB higher </w:t>
      </w:r>
      <w:r w:rsidR="001659E8">
        <w:rPr>
          <w:lang w:val="sv-SE" w:eastAsia="ja-JP"/>
        </w:rPr>
        <w:t xml:space="preserve">compared to </w:t>
      </w:r>
      <w:r w:rsidR="00417185" w:rsidRPr="00417185">
        <w:rPr>
          <w:lang w:val="sv-SE" w:eastAsia="ja-JP"/>
        </w:rPr>
        <w:t xml:space="preserve"> </w:t>
      </w:r>
      <w:r w:rsidR="001659E8">
        <w:rPr>
          <w:lang w:val="sv-SE" w:eastAsia="ja-JP"/>
        </w:rPr>
        <w:t xml:space="preserve">TS </w:t>
      </w:r>
      <w:r w:rsidR="00417185" w:rsidRPr="00417185">
        <w:rPr>
          <w:lang w:val="sv-SE" w:eastAsia="ja-JP"/>
        </w:rPr>
        <w:t>37.104), the EIRP limit would be ~50dBm/10 MHz.</w:t>
      </w:r>
      <w:r w:rsidR="00C06E5C">
        <w:rPr>
          <w:lang w:val="sv-SE" w:eastAsia="ja-JP"/>
        </w:rPr>
        <w:t xml:space="preserve"> This means that</w:t>
      </w:r>
      <w:r w:rsidR="00095A9F">
        <w:rPr>
          <w:lang w:val="sv-SE" w:eastAsia="ja-JP"/>
        </w:rPr>
        <w:t xml:space="preserve"> the FRMCS EIRP limit would have to be very low to </w:t>
      </w:r>
      <w:r w:rsidR="00562429">
        <w:rPr>
          <w:lang w:val="sv-SE" w:eastAsia="ja-JP"/>
        </w:rPr>
        <w:t xml:space="preserve">minimize interference from the </w:t>
      </w:r>
      <w:r w:rsidR="001F7667">
        <w:rPr>
          <w:lang w:val="sv-SE" w:eastAsia="ja-JP"/>
        </w:rPr>
        <w:t xml:space="preserve">near by FRMCS BSs. </w:t>
      </w:r>
    </w:p>
    <w:p w14:paraId="2A516D1D" w14:textId="250673A8" w:rsidR="005952BF" w:rsidRDefault="005952BF" w:rsidP="003B7B57">
      <w:pPr>
        <w:rPr>
          <w:rFonts w:eastAsia="MS Mincho"/>
          <w:lang w:val="sv-SE" w:eastAsia="ja-JP"/>
        </w:rPr>
      </w:pPr>
      <w:r>
        <w:rPr>
          <w:rFonts w:eastAsia="MS Mincho"/>
          <w:lang w:val="sv-SE" w:eastAsia="ja-JP"/>
        </w:rPr>
        <w:t>Answering RAN</w:t>
      </w:r>
      <w:r w:rsidR="00103312">
        <w:rPr>
          <w:rFonts w:eastAsia="MS Mincho"/>
          <w:lang w:val="sv-SE" w:eastAsia="ja-JP"/>
        </w:rPr>
        <w:t xml:space="preserve">’s question </w:t>
      </w:r>
      <w:r w:rsidR="00E35540">
        <w:rPr>
          <w:rFonts w:eastAsia="MS Mincho"/>
          <w:lang w:val="sv-SE" w:eastAsia="ja-JP"/>
        </w:rPr>
        <w:t xml:space="preserve">on the </w:t>
      </w:r>
      <w:r w:rsidR="00103312" w:rsidRPr="00581B7F">
        <w:rPr>
          <w:rFonts w:hint="eastAsia"/>
        </w:rPr>
        <w:t xml:space="preserve">possibilities </w:t>
      </w:r>
      <w:r w:rsidR="00E35540">
        <w:t xml:space="preserve">which may </w:t>
      </w:r>
      <w:r w:rsidR="00103312" w:rsidRPr="00581B7F">
        <w:rPr>
          <w:rFonts w:hint="eastAsia"/>
        </w:rPr>
        <w:t>exist in the RAN4 specifications for n101 to avoid causing interference on already established networks</w:t>
      </w:r>
      <w:r w:rsidR="00103312">
        <w:t>, taking CEPT regulations into account</w:t>
      </w:r>
      <w:r w:rsidR="00103312">
        <w:rPr>
          <w:rFonts w:eastAsia="MS Mincho"/>
          <w:lang w:val="sv-SE" w:eastAsia="ja-JP"/>
        </w:rPr>
        <w:t xml:space="preserve">, the following </w:t>
      </w:r>
      <w:r w:rsidR="000F1079">
        <w:rPr>
          <w:rFonts w:eastAsia="MS Mincho"/>
          <w:lang w:val="sv-SE" w:eastAsia="ja-JP"/>
        </w:rPr>
        <w:t>aspects could be considered:</w:t>
      </w:r>
    </w:p>
    <w:p w14:paraId="5698EE84" w14:textId="617A7CC9" w:rsidR="00B9212C" w:rsidRDefault="00B9212C" w:rsidP="000F1079">
      <w:pPr>
        <w:pStyle w:val="ListParagraph"/>
        <w:numPr>
          <w:ilvl w:val="0"/>
          <w:numId w:val="35"/>
        </w:numPr>
        <w:ind w:firstLineChars="0"/>
        <w:rPr>
          <w:lang w:val="sv-SE" w:eastAsia="ja-JP"/>
        </w:rPr>
      </w:pPr>
      <w:r>
        <w:rPr>
          <w:lang w:val="sv-SE" w:eastAsia="ja-JP"/>
        </w:rPr>
        <w:t>Coordinated deployment</w:t>
      </w:r>
      <w:r w:rsidR="00E55AFA">
        <w:rPr>
          <w:lang w:val="sv-SE" w:eastAsia="ja-JP"/>
        </w:rPr>
        <w:t xml:space="preserve">. </w:t>
      </w:r>
    </w:p>
    <w:p w14:paraId="172F885D" w14:textId="30CC02CC" w:rsidR="0021405F" w:rsidRDefault="0021405F" w:rsidP="0021405F">
      <w:pPr>
        <w:pStyle w:val="ListParagraph"/>
        <w:ind w:left="720" w:firstLineChars="0" w:firstLine="0"/>
        <w:rPr>
          <w:lang w:val="sv-SE" w:eastAsia="ja-JP"/>
        </w:rPr>
      </w:pPr>
      <w:r>
        <w:rPr>
          <w:lang w:val="sv-SE" w:eastAsia="ja-JP"/>
        </w:rPr>
        <w:t>By coordinat</w:t>
      </w:r>
      <w:r w:rsidR="0057259B">
        <w:rPr>
          <w:lang w:val="sv-SE" w:eastAsia="ja-JP"/>
        </w:rPr>
        <w:t>ing</w:t>
      </w:r>
      <w:r>
        <w:rPr>
          <w:lang w:val="sv-SE" w:eastAsia="ja-JP"/>
        </w:rPr>
        <w:t xml:space="preserve"> FRMCS deployment with </w:t>
      </w:r>
      <w:r w:rsidR="000B5212">
        <w:rPr>
          <w:lang w:val="sv-SE" w:eastAsia="ja-JP"/>
        </w:rPr>
        <w:t xml:space="preserve">already installed MFCN BS, it might be possible to find some arrangements between both parties </w:t>
      </w:r>
      <w:r w:rsidR="004A1945">
        <w:rPr>
          <w:lang w:val="sv-SE" w:eastAsia="ja-JP"/>
        </w:rPr>
        <w:t xml:space="preserve">to limit or even avoid interferences. Nevertheless, </w:t>
      </w:r>
      <w:r w:rsidR="009F1009">
        <w:rPr>
          <w:lang w:val="sv-SE" w:eastAsia="ja-JP"/>
        </w:rPr>
        <w:t>such</w:t>
      </w:r>
      <w:r w:rsidR="00427298">
        <w:rPr>
          <w:lang w:val="sv-SE" w:eastAsia="ja-JP"/>
        </w:rPr>
        <w:t xml:space="preserve"> discussion </w:t>
      </w:r>
      <w:r w:rsidR="008A7093">
        <w:rPr>
          <w:lang w:val="sv-SE" w:eastAsia="ja-JP"/>
        </w:rPr>
        <w:t>might be difficult</w:t>
      </w:r>
      <w:r w:rsidR="00446BE3">
        <w:rPr>
          <w:lang w:val="sv-SE" w:eastAsia="ja-JP"/>
        </w:rPr>
        <w:t xml:space="preserve">, </w:t>
      </w:r>
      <w:r w:rsidR="006228F8">
        <w:rPr>
          <w:lang w:val="sv-SE" w:eastAsia="ja-JP"/>
        </w:rPr>
        <w:t xml:space="preserve">not </w:t>
      </w:r>
      <w:r w:rsidR="0096563B">
        <w:rPr>
          <w:lang w:val="sv-SE" w:eastAsia="ja-JP"/>
        </w:rPr>
        <w:t>address</w:t>
      </w:r>
      <w:r w:rsidR="00446BE3">
        <w:rPr>
          <w:lang w:val="sv-SE" w:eastAsia="ja-JP"/>
        </w:rPr>
        <w:t>ing</w:t>
      </w:r>
      <w:r w:rsidR="006228F8">
        <w:rPr>
          <w:lang w:val="sv-SE" w:eastAsia="ja-JP"/>
        </w:rPr>
        <w:t xml:space="preserve"> all situations</w:t>
      </w:r>
      <w:r w:rsidR="00446BE3">
        <w:rPr>
          <w:lang w:val="sv-SE" w:eastAsia="ja-JP"/>
        </w:rPr>
        <w:t xml:space="preserve"> and </w:t>
      </w:r>
      <w:r w:rsidR="007162BF">
        <w:rPr>
          <w:lang w:val="sv-SE" w:eastAsia="ja-JP"/>
        </w:rPr>
        <w:t>po</w:t>
      </w:r>
      <w:r w:rsidR="006228F8">
        <w:rPr>
          <w:lang w:val="sv-SE" w:eastAsia="ja-JP"/>
        </w:rPr>
        <w:t>ssibly</w:t>
      </w:r>
      <w:r w:rsidR="007162BF">
        <w:rPr>
          <w:lang w:val="sv-SE" w:eastAsia="ja-JP"/>
        </w:rPr>
        <w:t xml:space="preserve"> </w:t>
      </w:r>
      <w:r w:rsidR="0072282C">
        <w:rPr>
          <w:lang w:val="sv-SE" w:eastAsia="ja-JP"/>
        </w:rPr>
        <w:t>delay</w:t>
      </w:r>
      <w:r w:rsidR="007162BF">
        <w:rPr>
          <w:lang w:val="sv-SE" w:eastAsia="ja-JP"/>
        </w:rPr>
        <w:t>ing</w:t>
      </w:r>
      <w:r w:rsidR="0072282C">
        <w:rPr>
          <w:lang w:val="sv-SE" w:eastAsia="ja-JP"/>
        </w:rPr>
        <w:t xml:space="preserve"> </w:t>
      </w:r>
      <w:r w:rsidR="00D6462F">
        <w:rPr>
          <w:lang w:val="sv-SE" w:eastAsia="ja-JP"/>
        </w:rPr>
        <w:t xml:space="preserve">and/or impacting </w:t>
      </w:r>
      <w:r w:rsidR="0072282C">
        <w:rPr>
          <w:lang w:val="sv-SE" w:eastAsia="ja-JP"/>
        </w:rPr>
        <w:t>the FRMCS deployment</w:t>
      </w:r>
      <w:r w:rsidR="003A41C2">
        <w:rPr>
          <w:lang w:val="sv-SE" w:eastAsia="ja-JP"/>
        </w:rPr>
        <w:t xml:space="preserve">. </w:t>
      </w:r>
    </w:p>
    <w:p w14:paraId="60F71AC8" w14:textId="1AF618FE" w:rsidR="006C0B2C" w:rsidRDefault="006C0B2C" w:rsidP="000F1079">
      <w:pPr>
        <w:pStyle w:val="ListParagraph"/>
        <w:numPr>
          <w:ilvl w:val="0"/>
          <w:numId w:val="35"/>
        </w:numPr>
        <w:ind w:firstLineChars="0"/>
        <w:rPr>
          <w:lang w:val="sv-SE" w:eastAsia="ja-JP"/>
        </w:rPr>
      </w:pPr>
      <w:r>
        <w:rPr>
          <w:lang w:val="sv-SE" w:eastAsia="ja-JP"/>
        </w:rPr>
        <w:t>Uncoordinated deployment.</w:t>
      </w:r>
    </w:p>
    <w:p w14:paraId="074EB74A" w14:textId="7290C11B" w:rsidR="00DE6835" w:rsidRDefault="00D23977" w:rsidP="00C92923">
      <w:pPr>
        <w:pStyle w:val="ListParagraph"/>
        <w:ind w:left="720" w:firstLineChars="0" w:firstLine="0"/>
      </w:pPr>
      <w:r>
        <w:rPr>
          <w:lang w:val="sv-SE" w:eastAsia="ja-JP"/>
        </w:rPr>
        <w:t>In case of u</w:t>
      </w:r>
      <w:r w:rsidR="000F1079">
        <w:rPr>
          <w:lang w:val="sv-SE" w:eastAsia="ja-JP"/>
        </w:rPr>
        <w:t>ncoordinated deployement</w:t>
      </w:r>
      <w:r>
        <w:rPr>
          <w:lang w:val="sv-SE" w:eastAsia="ja-JP"/>
        </w:rPr>
        <w:t>, mitigation measures could be considered</w:t>
      </w:r>
      <w:r w:rsidR="00D12AFE">
        <w:rPr>
          <w:lang w:val="sv-SE" w:eastAsia="ja-JP"/>
        </w:rPr>
        <w:t xml:space="preserve"> for the FRMCS BS and/or the MFCN BS</w:t>
      </w:r>
      <w:r w:rsidR="00BC7F0F">
        <w:rPr>
          <w:lang w:val="sv-SE" w:eastAsia="ja-JP"/>
        </w:rPr>
        <w:t>, like</w:t>
      </w:r>
      <w:r w:rsidR="00D6462F">
        <w:rPr>
          <w:lang w:val="sv-SE" w:eastAsia="ja-JP"/>
        </w:rPr>
        <w:t xml:space="preserve"> a</w:t>
      </w:r>
      <w:r w:rsidR="0069582A" w:rsidRPr="007A6D15">
        <w:rPr>
          <w:lang w:val="sv-SE" w:eastAsia="ja-JP"/>
        </w:rPr>
        <w:t xml:space="preserve">djustment of </w:t>
      </w:r>
      <w:r w:rsidR="00BC7F0F" w:rsidRPr="007A6D15">
        <w:rPr>
          <w:lang w:val="sv-SE" w:eastAsia="ja-JP"/>
        </w:rPr>
        <w:t xml:space="preserve">the </w:t>
      </w:r>
      <w:r w:rsidR="0069582A" w:rsidRPr="007A6D15">
        <w:rPr>
          <w:lang w:val="sv-SE" w:eastAsia="ja-JP"/>
        </w:rPr>
        <w:t>antenna directivity</w:t>
      </w:r>
      <w:r w:rsidR="00D6462F">
        <w:rPr>
          <w:lang w:val="sv-SE" w:eastAsia="ja-JP"/>
        </w:rPr>
        <w:t xml:space="preserve">, </w:t>
      </w:r>
      <w:r w:rsidR="00BC7F0F" w:rsidRPr="007A6D15">
        <w:rPr>
          <w:lang w:val="sv-SE" w:eastAsia="ja-JP"/>
        </w:rPr>
        <w:t xml:space="preserve">the antenna </w:t>
      </w:r>
      <w:r w:rsidR="0069582A" w:rsidRPr="007A6D15">
        <w:rPr>
          <w:lang w:val="sv-SE" w:eastAsia="ja-JP"/>
        </w:rPr>
        <w:t>azimuth</w:t>
      </w:r>
      <w:r w:rsidR="00D6462F">
        <w:rPr>
          <w:lang w:val="sv-SE" w:eastAsia="ja-JP"/>
        </w:rPr>
        <w:t xml:space="preserve"> and/or</w:t>
      </w:r>
      <w:r w:rsidR="00BC7F0F" w:rsidRPr="007A6D15">
        <w:rPr>
          <w:lang w:val="sv-SE" w:eastAsia="ja-JP"/>
        </w:rPr>
        <w:t xml:space="preserve"> the </w:t>
      </w:r>
      <w:r w:rsidR="00BC7F0F" w:rsidRPr="007A6D15">
        <w:rPr>
          <w:lang w:val="sv-SE" w:eastAsia="ja-JP"/>
        </w:rPr>
        <w:lastRenderedPageBreak/>
        <w:t xml:space="preserve">antenna </w:t>
      </w:r>
      <w:r w:rsidR="0069582A" w:rsidRPr="007A6D15">
        <w:rPr>
          <w:lang w:val="sv-SE" w:eastAsia="ja-JP"/>
        </w:rPr>
        <w:t>tilt</w:t>
      </w:r>
      <w:r w:rsidR="007A6D15">
        <w:rPr>
          <w:lang w:val="sv-SE" w:eastAsia="ja-JP"/>
        </w:rPr>
        <w:t>.</w:t>
      </w:r>
      <w:r w:rsidR="00C92923">
        <w:rPr>
          <w:lang w:val="sv-SE" w:eastAsia="ja-JP"/>
        </w:rPr>
        <w:t xml:space="preserve"> E</w:t>
      </w:r>
      <w:r w:rsidR="00DE6835">
        <w:rPr>
          <w:lang w:val="sv-SE" w:eastAsia="ja-JP"/>
        </w:rPr>
        <w:t xml:space="preserve">ven so, </w:t>
      </w:r>
      <w:r w:rsidR="008D1B03">
        <w:rPr>
          <w:lang w:val="sv-SE" w:eastAsia="ja-JP"/>
        </w:rPr>
        <w:t xml:space="preserve">those mitigations techniques </w:t>
      </w:r>
      <w:r w:rsidR="008D1B03" w:rsidRPr="007A6D15">
        <w:rPr>
          <w:lang w:val="sv-SE" w:eastAsia="ja-JP"/>
        </w:rPr>
        <w:t xml:space="preserve">may </w:t>
      </w:r>
      <w:r w:rsidR="006C01E1">
        <w:rPr>
          <w:lang w:val="sv-SE" w:eastAsia="ja-JP"/>
        </w:rPr>
        <w:t xml:space="preserve">still </w:t>
      </w:r>
      <w:r w:rsidR="008D1B03" w:rsidRPr="007A6D15">
        <w:rPr>
          <w:lang w:val="sv-SE" w:eastAsia="ja-JP"/>
        </w:rPr>
        <w:t>not be sufficient to solve all interferences cases.</w:t>
      </w:r>
      <w:r w:rsidR="008D1B03">
        <w:rPr>
          <w:sz w:val="16"/>
          <w:szCs w:val="16"/>
        </w:rPr>
        <w:t xml:space="preserve"> </w:t>
      </w:r>
      <w:r w:rsidR="008D1B03">
        <w:t xml:space="preserve"> </w:t>
      </w:r>
    </w:p>
    <w:p w14:paraId="47B119B0" w14:textId="7EB6230C" w:rsidR="00391690" w:rsidRDefault="00391690" w:rsidP="00391690">
      <w:pPr>
        <w:rPr>
          <w:rFonts w:eastAsia="MS Mincho"/>
          <w:b/>
          <w:bCs/>
          <w:lang w:val="sv-SE" w:eastAsia="ja-JP"/>
        </w:rPr>
      </w:pPr>
      <w:r w:rsidRPr="003C36FB">
        <w:rPr>
          <w:rFonts w:eastAsia="MS Mincho"/>
          <w:b/>
          <w:bCs/>
          <w:lang w:val="sv-SE" w:eastAsia="ja-JP"/>
        </w:rPr>
        <w:t>Observation1</w:t>
      </w:r>
      <w:r w:rsidR="00F65D26">
        <w:rPr>
          <w:rFonts w:eastAsia="MS Mincho"/>
          <w:b/>
          <w:bCs/>
          <w:lang w:val="sv-SE" w:eastAsia="ja-JP"/>
        </w:rPr>
        <w:t>3</w:t>
      </w:r>
      <w:r w:rsidRPr="003C36FB">
        <w:rPr>
          <w:rFonts w:eastAsia="MS Mincho"/>
          <w:b/>
          <w:bCs/>
          <w:lang w:val="sv-SE" w:eastAsia="ja-JP"/>
        </w:rPr>
        <w:t xml:space="preserve">: </w:t>
      </w:r>
      <w:r w:rsidR="001F1C54">
        <w:rPr>
          <w:rFonts w:eastAsia="MS Mincho"/>
          <w:b/>
          <w:bCs/>
          <w:lang w:val="sv-SE" w:eastAsia="ja-JP"/>
        </w:rPr>
        <w:t xml:space="preserve">FRMCS coordinated deployment </w:t>
      </w:r>
      <w:r w:rsidR="000D7E08">
        <w:rPr>
          <w:rFonts w:eastAsia="MS Mincho"/>
          <w:b/>
          <w:bCs/>
          <w:lang w:val="sv-SE" w:eastAsia="ja-JP"/>
        </w:rPr>
        <w:t>w</w:t>
      </w:r>
      <w:r w:rsidR="0081060A">
        <w:rPr>
          <w:rFonts w:eastAsia="MS Mincho"/>
          <w:b/>
          <w:bCs/>
          <w:lang w:val="sv-SE" w:eastAsia="ja-JP"/>
        </w:rPr>
        <w:t xml:space="preserve">ould </w:t>
      </w:r>
      <w:r w:rsidR="000D7E08">
        <w:rPr>
          <w:rFonts w:eastAsia="MS Mincho"/>
          <w:b/>
          <w:bCs/>
          <w:lang w:val="sv-SE" w:eastAsia="ja-JP"/>
        </w:rPr>
        <w:t xml:space="preserve">help </w:t>
      </w:r>
      <w:r w:rsidR="003129BB">
        <w:rPr>
          <w:rFonts w:eastAsia="MS Mincho"/>
          <w:b/>
          <w:bCs/>
          <w:lang w:val="sv-SE" w:eastAsia="ja-JP"/>
        </w:rPr>
        <w:t>avoid</w:t>
      </w:r>
      <w:r w:rsidR="000D7E08">
        <w:rPr>
          <w:rFonts w:eastAsia="MS Mincho"/>
          <w:b/>
          <w:bCs/>
          <w:lang w:val="sv-SE" w:eastAsia="ja-JP"/>
        </w:rPr>
        <w:t>ing</w:t>
      </w:r>
      <w:r w:rsidR="003129BB">
        <w:rPr>
          <w:rFonts w:eastAsia="MS Mincho"/>
          <w:b/>
          <w:bCs/>
          <w:lang w:val="sv-SE" w:eastAsia="ja-JP"/>
        </w:rPr>
        <w:t xml:space="preserve"> interference with already deployed MFCN BS.</w:t>
      </w:r>
    </w:p>
    <w:p w14:paraId="20B50FA1" w14:textId="31B4934E" w:rsidR="000D7E08" w:rsidRDefault="000D7E08" w:rsidP="00391690">
      <w:pPr>
        <w:rPr>
          <w:rFonts w:eastAsia="MS Mincho"/>
          <w:b/>
          <w:bCs/>
          <w:lang w:val="sv-SE" w:eastAsia="ja-JP"/>
        </w:rPr>
      </w:pPr>
      <w:r>
        <w:rPr>
          <w:rFonts w:eastAsia="MS Mincho"/>
          <w:b/>
          <w:bCs/>
          <w:lang w:val="sv-SE" w:eastAsia="ja-JP"/>
        </w:rPr>
        <w:t>Observation1</w:t>
      </w:r>
      <w:r w:rsidR="00F65D26">
        <w:rPr>
          <w:rFonts w:eastAsia="MS Mincho"/>
          <w:b/>
          <w:bCs/>
          <w:lang w:val="sv-SE" w:eastAsia="ja-JP"/>
        </w:rPr>
        <w:t>4</w:t>
      </w:r>
      <w:r>
        <w:rPr>
          <w:rFonts w:eastAsia="MS Mincho"/>
          <w:b/>
          <w:bCs/>
          <w:lang w:val="sv-SE" w:eastAsia="ja-JP"/>
        </w:rPr>
        <w:t xml:space="preserve">: Mitigation techniques (e.g. </w:t>
      </w:r>
      <w:r w:rsidR="00D21B61">
        <w:rPr>
          <w:rFonts w:eastAsia="MS Mincho"/>
          <w:b/>
          <w:bCs/>
          <w:lang w:val="sv-SE" w:eastAsia="ja-JP"/>
        </w:rPr>
        <w:t xml:space="preserve">adjusting </w:t>
      </w:r>
      <w:r>
        <w:rPr>
          <w:rFonts w:eastAsia="MS Mincho"/>
          <w:b/>
          <w:bCs/>
          <w:lang w:val="sv-SE" w:eastAsia="ja-JP"/>
        </w:rPr>
        <w:t xml:space="preserve">antenna </w:t>
      </w:r>
      <w:r w:rsidR="00D21B61">
        <w:rPr>
          <w:rFonts w:eastAsia="MS Mincho"/>
          <w:b/>
          <w:bCs/>
          <w:lang w:val="sv-SE" w:eastAsia="ja-JP"/>
        </w:rPr>
        <w:t>directivity, azimuth, tilt, ...)</w:t>
      </w:r>
      <w:r w:rsidR="00D21B61" w:rsidRPr="00D21B61">
        <w:rPr>
          <w:rFonts w:eastAsia="MS Mincho"/>
          <w:b/>
          <w:bCs/>
          <w:lang w:val="sv-SE" w:eastAsia="ja-JP"/>
        </w:rPr>
        <w:t xml:space="preserve"> </w:t>
      </w:r>
      <w:r w:rsidR="00D21B61">
        <w:rPr>
          <w:rFonts w:eastAsia="MS Mincho"/>
          <w:b/>
          <w:bCs/>
          <w:lang w:val="sv-SE" w:eastAsia="ja-JP"/>
        </w:rPr>
        <w:t>would help avoiding interference with already deployed MFCN BS.</w:t>
      </w:r>
    </w:p>
    <w:p w14:paraId="1FAABBB8" w14:textId="187522C6" w:rsidR="003C46D1" w:rsidRDefault="00E54F0D" w:rsidP="00391690">
      <w:pPr>
        <w:rPr>
          <w:rFonts w:eastAsia="MS Mincho"/>
          <w:lang w:val="sv-SE" w:eastAsia="ja-JP"/>
        </w:rPr>
      </w:pPr>
      <w:r>
        <w:rPr>
          <w:rFonts w:eastAsia="MS Mincho"/>
          <w:lang w:val="sv-SE" w:eastAsia="ja-JP"/>
        </w:rPr>
        <w:t>O</w:t>
      </w:r>
      <w:r w:rsidR="00116C33">
        <w:rPr>
          <w:rFonts w:eastAsia="MS Mincho"/>
          <w:lang w:val="sv-SE" w:eastAsia="ja-JP"/>
        </w:rPr>
        <w:t xml:space="preserve">ther </w:t>
      </w:r>
      <w:r w:rsidR="00233023">
        <w:rPr>
          <w:rFonts w:eastAsia="MS Mincho"/>
          <w:lang w:val="sv-SE" w:eastAsia="ja-JP"/>
        </w:rPr>
        <w:t>options</w:t>
      </w:r>
      <w:r w:rsidR="00116C33">
        <w:rPr>
          <w:rFonts w:eastAsia="MS Mincho"/>
          <w:lang w:val="sv-SE" w:eastAsia="ja-JP"/>
        </w:rPr>
        <w:t xml:space="preserve"> </w:t>
      </w:r>
      <w:r>
        <w:rPr>
          <w:rFonts w:eastAsia="MS Mincho"/>
          <w:lang w:val="sv-SE" w:eastAsia="ja-JP"/>
        </w:rPr>
        <w:t xml:space="preserve">might also be considered but they would consist in introducing more stringent requirements than those specified </w:t>
      </w:r>
      <w:r w:rsidR="00A951A4">
        <w:rPr>
          <w:rFonts w:eastAsia="MS Mincho"/>
          <w:lang w:val="sv-SE" w:eastAsia="ja-JP"/>
        </w:rPr>
        <w:t>by the Administrations:</w:t>
      </w:r>
    </w:p>
    <w:p w14:paraId="2CDF04BC" w14:textId="6D5CA29C" w:rsidR="00A951A4" w:rsidRDefault="00BA0328" w:rsidP="00A951A4">
      <w:pPr>
        <w:pStyle w:val="ListParagraph"/>
        <w:numPr>
          <w:ilvl w:val="0"/>
          <w:numId w:val="35"/>
        </w:numPr>
        <w:ind w:firstLineChars="0"/>
        <w:rPr>
          <w:lang w:val="sv-SE" w:eastAsia="ja-JP"/>
        </w:rPr>
      </w:pPr>
      <w:r>
        <w:rPr>
          <w:lang w:val="sv-SE" w:eastAsia="ja-JP"/>
        </w:rPr>
        <w:t>Specify</w:t>
      </w:r>
      <w:r w:rsidR="00A951A4">
        <w:rPr>
          <w:lang w:val="sv-SE" w:eastAsia="ja-JP"/>
        </w:rPr>
        <w:t xml:space="preserve"> the </w:t>
      </w:r>
      <w:r w:rsidR="00D31C43">
        <w:rPr>
          <w:lang w:val="sv-SE" w:eastAsia="ja-JP"/>
        </w:rPr>
        <w:t xml:space="preserve">FRMCS BS maximum output power </w:t>
      </w:r>
      <w:r>
        <w:rPr>
          <w:lang w:val="sv-SE" w:eastAsia="ja-JP"/>
        </w:rPr>
        <w:t>limit with</w:t>
      </w:r>
      <w:r w:rsidR="00D31C43">
        <w:rPr>
          <w:lang w:val="sv-SE" w:eastAsia="ja-JP"/>
        </w:rPr>
        <w:t xml:space="preserve"> </w:t>
      </w:r>
      <w:r w:rsidR="004A20BA">
        <w:rPr>
          <w:lang w:val="sv-SE" w:eastAsia="ja-JP"/>
        </w:rPr>
        <w:t>a much lower value.</w:t>
      </w:r>
    </w:p>
    <w:p w14:paraId="0A66BC6F" w14:textId="10E79E70" w:rsidR="00CE647B" w:rsidRDefault="00F86A86" w:rsidP="00CE647B">
      <w:pPr>
        <w:pStyle w:val="ListParagraph"/>
        <w:ind w:left="720" w:firstLineChars="0" w:firstLine="0"/>
        <w:rPr>
          <w:lang w:val="sv-SE" w:eastAsia="ja-JP"/>
        </w:rPr>
      </w:pPr>
      <w:r>
        <w:rPr>
          <w:lang w:val="sv-SE" w:eastAsia="ja-JP"/>
        </w:rPr>
        <w:t xml:space="preserve">The main drawback, as </w:t>
      </w:r>
      <w:r w:rsidR="00446BE3">
        <w:rPr>
          <w:lang w:val="sv-SE" w:eastAsia="ja-JP"/>
        </w:rPr>
        <w:t xml:space="preserve">already mentioned </w:t>
      </w:r>
      <w:r>
        <w:rPr>
          <w:lang w:val="sv-SE" w:eastAsia="ja-JP"/>
        </w:rPr>
        <w:t xml:space="preserve">for coordinated deployment, </w:t>
      </w:r>
      <w:r w:rsidR="00446BE3">
        <w:rPr>
          <w:lang w:val="sv-SE" w:eastAsia="ja-JP"/>
        </w:rPr>
        <w:t>this would most likley impact FRMCS deployment</w:t>
      </w:r>
      <w:r w:rsidR="004C016B">
        <w:rPr>
          <w:lang w:val="sv-SE" w:eastAsia="ja-JP"/>
        </w:rPr>
        <w:t>.</w:t>
      </w:r>
    </w:p>
    <w:p w14:paraId="48A468A7" w14:textId="3B4D0A0E" w:rsidR="004A20BA" w:rsidRDefault="00C17B72" w:rsidP="00A951A4">
      <w:pPr>
        <w:pStyle w:val="ListParagraph"/>
        <w:numPr>
          <w:ilvl w:val="0"/>
          <w:numId w:val="35"/>
        </w:numPr>
        <w:ind w:firstLineChars="0"/>
        <w:rPr>
          <w:lang w:val="sv-SE" w:eastAsia="ja-JP"/>
        </w:rPr>
      </w:pPr>
      <w:r>
        <w:rPr>
          <w:lang w:val="sv-SE" w:eastAsia="ja-JP"/>
        </w:rPr>
        <w:t>Specify a more stringent</w:t>
      </w:r>
      <w:r w:rsidR="00A0641B">
        <w:rPr>
          <w:lang w:val="sv-SE" w:eastAsia="ja-JP"/>
        </w:rPr>
        <w:t xml:space="preserve"> </w:t>
      </w:r>
      <w:r>
        <w:rPr>
          <w:lang w:val="sv-SE" w:eastAsia="ja-JP"/>
        </w:rPr>
        <w:t xml:space="preserve">baseline </w:t>
      </w:r>
      <w:r w:rsidR="00CE647B">
        <w:rPr>
          <w:lang w:val="sv-SE" w:eastAsia="ja-JP"/>
        </w:rPr>
        <w:t>EIRP in 1920-1980 MHz.</w:t>
      </w:r>
    </w:p>
    <w:p w14:paraId="7DB4EB49" w14:textId="7F24607E" w:rsidR="004C016B" w:rsidRDefault="004C016B" w:rsidP="004C016B">
      <w:pPr>
        <w:pStyle w:val="ListParagraph"/>
        <w:ind w:left="720" w:firstLineChars="0" w:firstLine="0"/>
        <w:rPr>
          <w:lang w:val="sv-SE" w:eastAsia="ja-JP"/>
        </w:rPr>
      </w:pPr>
      <w:r>
        <w:rPr>
          <w:lang w:val="sv-SE" w:eastAsia="ja-JP"/>
        </w:rPr>
        <w:t xml:space="preserve">Further study would be needed to determine the </w:t>
      </w:r>
      <w:r w:rsidR="006374ED">
        <w:rPr>
          <w:lang w:val="sv-SE" w:eastAsia="ja-JP"/>
        </w:rPr>
        <w:t>n</w:t>
      </w:r>
      <w:r w:rsidR="00233023">
        <w:rPr>
          <w:lang w:val="sv-SE" w:eastAsia="ja-JP"/>
        </w:rPr>
        <w:t xml:space="preserve">eeded </w:t>
      </w:r>
      <w:r>
        <w:rPr>
          <w:lang w:val="sv-SE" w:eastAsia="ja-JP"/>
        </w:rPr>
        <w:t xml:space="preserve">value. Nevertheless, </w:t>
      </w:r>
      <w:r w:rsidR="001352BA">
        <w:rPr>
          <w:lang w:val="sv-SE" w:eastAsia="ja-JP"/>
        </w:rPr>
        <w:t xml:space="preserve">if the regulation is not updated accordingly, </w:t>
      </w:r>
      <w:r w:rsidR="00E35F5F">
        <w:rPr>
          <w:lang w:val="sv-SE" w:eastAsia="ja-JP"/>
        </w:rPr>
        <w:t xml:space="preserve">this </w:t>
      </w:r>
      <w:r w:rsidR="00C007F7">
        <w:rPr>
          <w:lang w:val="sv-SE" w:eastAsia="ja-JP"/>
        </w:rPr>
        <w:t>would not improve the situation in the filed: i</w:t>
      </w:r>
      <w:r w:rsidR="000E31FC">
        <w:rPr>
          <w:lang w:val="sv-SE" w:eastAsia="ja-JP"/>
        </w:rPr>
        <w:t xml:space="preserve">t would still be possible to operate FRMCS BSs which </w:t>
      </w:r>
      <w:r w:rsidR="00F21EA6">
        <w:rPr>
          <w:lang w:val="sv-SE" w:eastAsia="ja-JP"/>
        </w:rPr>
        <w:t>would not respect this more stringent limit</w:t>
      </w:r>
      <w:r w:rsidR="001747C5">
        <w:rPr>
          <w:lang w:val="sv-SE" w:eastAsia="ja-JP"/>
        </w:rPr>
        <w:t xml:space="preserve"> (</w:t>
      </w:r>
      <w:r w:rsidR="00F21EA6">
        <w:rPr>
          <w:lang w:val="sv-SE" w:eastAsia="ja-JP"/>
        </w:rPr>
        <w:t xml:space="preserve">not </w:t>
      </w:r>
      <w:r w:rsidR="001747C5">
        <w:rPr>
          <w:lang w:val="sv-SE" w:eastAsia="ja-JP"/>
        </w:rPr>
        <w:t xml:space="preserve">being </w:t>
      </w:r>
      <w:r w:rsidR="000E31FC">
        <w:rPr>
          <w:lang w:val="sv-SE" w:eastAsia="ja-JP"/>
        </w:rPr>
        <w:t xml:space="preserve">3GPP compliant </w:t>
      </w:r>
      <w:r w:rsidR="00F21EA6">
        <w:rPr>
          <w:lang w:val="sv-SE" w:eastAsia="ja-JP"/>
        </w:rPr>
        <w:t>then</w:t>
      </w:r>
      <w:r w:rsidR="001747C5">
        <w:rPr>
          <w:lang w:val="sv-SE" w:eastAsia="ja-JP"/>
        </w:rPr>
        <w:t>)</w:t>
      </w:r>
      <w:r w:rsidR="00F21EA6">
        <w:rPr>
          <w:lang w:val="sv-SE" w:eastAsia="ja-JP"/>
        </w:rPr>
        <w:t xml:space="preserve"> as the Regulators would allow</w:t>
      </w:r>
      <w:r w:rsidR="00F247AA">
        <w:rPr>
          <w:lang w:val="sv-SE" w:eastAsia="ja-JP"/>
        </w:rPr>
        <w:t xml:space="preserve"> such FRMCS BSs deployment</w:t>
      </w:r>
      <w:r w:rsidR="00F21EA6">
        <w:rPr>
          <w:lang w:val="sv-SE" w:eastAsia="ja-JP"/>
        </w:rPr>
        <w:t xml:space="preserve">. </w:t>
      </w:r>
    </w:p>
    <w:p w14:paraId="1CB19251" w14:textId="19BFD46E" w:rsidR="00233023" w:rsidRDefault="00233023" w:rsidP="00233023">
      <w:pPr>
        <w:rPr>
          <w:b/>
          <w:bCs/>
          <w:lang w:val="sv-SE" w:eastAsia="ja-JP"/>
        </w:rPr>
      </w:pPr>
      <w:r w:rsidRPr="00CD37B4">
        <w:rPr>
          <w:b/>
          <w:bCs/>
          <w:lang w:val="sv-SE" w:eastAsia="ja-JP"/>
        </w:rPr>
        <w:t>Obs</w:t>
      </w:r>
      <w:r w:rsidR="009637D4" w:rsidRPr="00CD37B4">
        <w:rPr>
          <w:b/>
          <w:bCs/>
          <w:lang w:val="sv-SE" w:eastAsia="ja-JP"/>
        </w:rPr>
        <w:t>ervation1</w:t>
      </w:r>
      <w:r w:rsidR="00F65D26">
        <w:rPr>
          <w:b/>
          <w:bCs/>
          <w:lang w:val="sv-SE" w:eastAsia="ja-JP"/>
        </w:rPr>
        <w:t>5</w:t>
      </w:r>
      <w:r w:rsidR="009637D4" w:rsidRPr="00CD37B4">
        <w:rPr>
          <w:b/>
          <w:bCs/>
          <w:lang w:val="sv-SE" w:eastAsia="ja-JP"/>
        </w:rPr>
        <w:t xml:space="preserve">: </w:t>
      </w:r>
      <w:r w:rsidR="007969A8" w:rsidRPr="00CD37B4">
        <w:rPr>
          <w:b/>
          <w:bCs/>
          <w:lang w:val="sv-SE" w:eastAsia="ja-JP"/>
        </w:rPr>
        <w:t xml:space="preserve">RAN4 might </w:t>
      </w:r>
      <w:r w:rsidR="00D81360" w:rsidRPr="00CD37B4">
        <w:rPr>
          <w:b/>
          <w:bCs/>
          <w:lang w:val="sv-SE" w:eastAsia="ja-JP"/>
        </w:rPr>
        <w:t>wish to s</w:t>
      </w:r>
      <w:r w:rsidR="009D68BA" w:rsidRPr="00CD37B4">
        <w:rPr>
          <w:b/>
          <w:bCs/>
          <w:lang w:val="sv-SE" w:eastAsia="ja-JP"/>
        </w:rPr>
        <w:t xml:space="preserve">pecify more stringent </w:t>
      </w:r>
      <w:r w:rsidR="00F61312" w:rsidRPr="00CD37B4">
        <w:rPr>
          <w:b/>
          <w:bCs/>
          <w:lang w:val="sv-SE" w:eastAsia="ja-JP"/>
        </w:rPr>
        <w:t xml:space="preserve">baseline </w:t>
      </w:r>
      <w:r w:rsidR="009D68BA" w:rsidRPr="00CD37B4">
        <w:rPr>
          <w:b/>
          <w:bCs/>
          <w:lang w:val="sv-SE" w:eastAsia="ja-JP"/>
        </w:rPr>
        <w:t>limit</w:t>
      </w:r>
      <w:r w:rsidR="00F61312" w:rsidRPr="00CD37B4">
        <w:rPr>
          <w:b/>
          <w:bCs/>
          <w:lang w:val="sv-SE" w:eastAsia="ja-JP"/>
        </w:rPr>
        <w:t xml:space="preserve"> in 1920-1980MHz</w:t>
      </w:r>
      <w:r w:rsidR="009D68BA" w:rsidRPr="00CD37B4">
        <w:rPr>
          <w:b/>
          <w:bCs/>
          <w:lang w:val="sv-SE" w:eastAsia="ja-JP"/>
        </w:rPr>
        <w:t xml:space="preserve"> </w:t>
      </w:r>
      <w:r w:rsidR="00D81360" w:rsidRPr="00CD37B4">
        <w:rPr>
          <w:b/>
          <w:bCs/>
          <w:lang w:val="sv-SE" w:eastAsia="ja-JP"/>
        </w:rPr>
        <w:t xml:space="preserve">to </w:t>
      </w:r>
      <w:r w:rsidR="009D68BA" w:rsidRPr="00CD37B4">
        <w:rPr>
          <w:b/>
          <w:bCs/>
          <w:lang w:val="sv-SE" w:eastAsia="ja-JP"/>
        </w:rPr>
        <w:t>improve coexistence</w:t>
      </w:r>
      <w:r w:rsidR="00486AF7" w:rsidRPr="00CD37B4">
        <w:rPr>
          <w:b/>
          <w:bCs/>
          <w:lang w:val="sv-SE" w:eastAsia="ja-JP"/>
        </w:rPr>
        <w:t xml:space="preserve">. Nevertheless, this </w:t>
      </w:r>
      <w:r w:rsidR="00C50854" w:rsidRPr="00CD37B4">
        <w:rPr>
          <w:b/>
          <w:bCs/>
          <w:lang w:val="sv-SE" w:eastAsia="ja-JP"/>
        </w:rPr>
        <w:t>would</w:t>
      </w:r>
      <w:r w:rsidR="00486AF7" w:rsidRPr="00CD37B4">
        <w:rPr>
          <w:b/>
          <w:bCs/>
          <w:lang w:val="sv-SE" w:eastAsia="ja-JP"/>
        </w:rPr>
        <w:t xml:space="preserve"> </w:t>
      </w:r>
      <w:r w:rsidR="00491776" w:rsidRPr="00CD37B4">
        <w:rPr>
          <w:b/>
          <w:bCs/>
          <w:lang w:val="sv-SE" w:eastAsia="ja-JP"/>
        </w:rPr>
        <w:t xml:space="preserve">not </w:t>
      </w:r>
      <w:r w:rsidR="00486AF7" w:rsidRPr="00CD37B4">
        <w:rPr>
          <w:b/>
          <w:bCs/>
          <w:lang w:val="sv-SE" w:eastAsia="ja-JP"/>
        </w:rPr>
        <w:t xml:space="preserve">have </w:t>
      </w:r>
      <w:r w:rsidR="00491776" w:rsidRPr="00CD37B4">
        <w:rPr>
          <w:b/>
          <w:bCs/>
          <w:lang w:val="sv-SE" w:eastAsia="ja-JP"/>
        </w:rPr>
        <w:t>any</w:t>
      </w:r>
      <w:r w:rsidR="00486AF7" w:rsidRPr="00CD37B4">
        <w:rPr>
          <w:b/>
          <w:bCs/>
          <w:lang w:val="sv-SE" w:eastAsia="ja-JP"/>
        </w:rPr>
        <w:t xml:space="preserve"> impact </w:t>
      </w:r>
      <w:r w:rsidR="00491776" w:rsidRPr="00CD37B4">
        <w:rPr>
          <w:b/>
          <w:bCs/>
          <w:lang w:val="sv-SE" w:eastAsia="ja-JP"/>
        </w:rPr>
        <w:t xml:space="preserve">in real network </w:t>
      </w:r>
      <w:r w:rsidR="00C50854" w:rsidRPr="00CD37B4">
        <w:rPr>
          <w:b/>
          <w:bCs/>
          <w:lang w:val="sv-SE" w:eastAsia="ja-JP"/>
        </w:rPr>
        <w:t>as long as</w:t>
      </w:r>
      <w:r w:rsidR="00251220" w:rsidRPr="00CD37B4">
        <w:rPr>
          <w:b/>
          <w:bCs/>
          <w:lang w:val="sv-SE" w:eastAsia="ja-JP"/>
        </w:rPr>
        <w:t xml:space="preserve"> the ECC Decision(20)02 is not updated accordingly</w:t>
      </w:r>
      <w:r w:rsidR="00491776" w:rsidRPr="00CD37B4">
        <w:rPr>
          <w:b/>
          <w:bCs/>
          <w:lang w:val="sv-SE" w:eastAsia="ja-JP"/>
        </w:rPr>
        <w:t xml:space="preserve"> as well. </w:t>
      </w:r>
    </w:p>
    <w:p w14:paraId="27E15AE7" w14:textId="77777777" w:rsidR="00884AC7" w:rsidRDefault="00884AC7" w:rsidP="00233023">
      <w:pPr>
        <w:rPr>
          <w:b/>
          <w:bCs/>
          <w:lang w:val="sv-SE" w:eastAsia="ja-JP"/>
        </w:rPr>
      </w:pPr>
    </w:p>
    <w:p w14:paraId="533DEA82" w14:textId="33AE2B21" w:rsidR="00E818CA" w:rsidRDefault="00E818CA" w:rsidP="00E818CA">
      <w:pPr>
        <w:pStyle w:val="Heading3"/>
        <w:rPr>
          <w:lang w:eastAsia="ja-JP"/>
        </w:rPr>
      </w:pPr>
      <w:r>
        <w:rPr>
          <w:lang w:eastAsia="ja-JP"/>
        </w:rPr>
        <w:t>Conclusion</w:t>
      </w:r>
    </w:p>
    <w:p w14:paraId="73065F8C" w14:textId="77777777" w:rsidR="004543C3" w:rsidRDefault="002C577C" w:rsidP="00C956D6">
      <w:pPr>
        <w:rPr>
          <w:lang w:val="sv-SE" w:eastAsia="ja-JP"/>
        </w:rPr>
      </w:pPr>
      <w:r>
        <w:rPr>
          <w:lang w:val="sv-SE" w:eastAsia="ja-JP"/>
        </w:rPr>
        <w:t xml:space="preserve">The band n101 was specified based on the </w:t>
      </w:r>
      <w:r w:rsidR="00884E23">
        <w:rPr>
          <w:lang w:val="sv-SE" w:eastAsia="ja-JP"/>
        </w:rPr>
        <w:t xml:space="preserve">ECC Decision(20)02 </w:t>
      </w:r>
      <w:r>
        <w:rPr>
          <w:lang w:val="sv-SE" w:eastAsia="ja-JP"/>
        </w:rPr>
        <w:t>published by CEPT.</w:t>
      </w:r>
      <w:r w:rsidR="00E818CA">
        <w:rPr>
          <w:lang w:val="sv-SE" w:eastAsia="ja-JP"/>
        </w:rPr>
        <w:t xml:space="preserve"> </w:t>
      </w:r>
    </w:p>
    <w:p w14:paraId="2D68869E" w14:textId="77777777" w:rsidR="00673D3B" w:rsidRDefault="004543C3" w:rsidP="004543C3">
      <w:pPr>
        <w:rPr>
          <w:lang w:val="sv-SE" w:eastAsia="ja-JP"/>
        </w:rPr>
      </w:pPr>
      <w:r>
        <w:rPr>
          <w:lang w:val="sv-SE" w:eastAsia="ja-JP"/>
        </w:rPr>
        <w:t xml:space="preserve">According to ECO website, the ECC Decision(20)02 has been implemented or is planned to be implemented by more than 15 CEPT countries. </w:t>
      </w:r>
    </w:p>
    <w:p w14:paraId="568C67E2" w14:textId="189A7B7A" w:rsidR="004543C3" w:rsidRPr="00DE6835" w:rsidRDefault="00D506EE" w:rsidP="004543C3">
      <w:pPr>
        <w:rPr>
          <w:lang w:val="sv-SE" w:eastAsia="ja-JP"/>
        </w:rPr>
      </w:pPr>
      <w:r>
        <w:rPr>
          <w:lang w:val="sv-SE" w:eastAsia="ja-JP"/>
        </w:rPr>
        <w:t>More</w:t>
      </w:r>
      <w:r w:rsidR="00673D3B">
        <w:rPr>
          <w:lang w:val="sv-SE" w:eastAsia="ja-JP"/>
        </w:rPr>
        <w:t xml:space="preserve">over, the European Commission implemented EC Decision 2021/1730 which is a </w:t>
      </w:r>
      <w:r w:rsidR="00F74960">
        <w:rPr>
          <w:lang w:val="sv-SE" w:eastAsia="ja-JP"/>
        </w:rPr>
        <w:t xml:space="preserve">binding </w:t>
      </w:r>
      <w:r w:rsidR="00673D3B">
        <w:rPr>
          <w:lang w:val="sv-SE" w:eastAsia="ja-JP"/>
        </w:rPr>
        <w:t xml:space="preserve">legal </w:t>
      </w:r>
      <w:r w:rsidR="00F74960">
        <w:rPr>
          <w:lang w:val="sv-SE" w:eastAsia="ja-JP"/>
        </w:rPr>
        <w:t>act for EU member States.</w:t>
      </w:r>
    </w:p>
    <w:p w14:paraId="154BA191" w14:textId="718E169C" w:rsidR="006A2DB0" w:rsidRDefault="0005408B" w:rsidP="00C956D6">
      <w:pPr>
        <w:rPr>
          <w:lang w:val="sv-SE" w:eastAsia="ja-JP"/>
        </w:rPr>
      </w:pPr>
      <w:r>
        <w:rPr>
          <w:lang w:val="sv-SE" w:eastAsia="ja-JP"/>
        </w:rPr>
        <w:t>For FRMCS to coexist with MFCN ban</w:t>
      </w:r>
      <w:r w:rsidR="00130A7E">
        <w:rPr>
          <w:lang w:val="sv-SE" w:eastAsia="ja-JP"/>
        </w:rPr>
        <w:t>d</w:t>
      </w:r>
      <w:r>
        <w:rPr>
          <w:lang w:val="sv-SE" w:eastAsia="ja-JP"/>
        </w:rPr>
        <w:t xml:space="preserve"> n1 BS, </w:t>
      </w:r>
      <w:r w:rsidR="0074188D">
        <w:rPr>
          <w:lang w:val="sv-SE" w:eastAsia="ja-JP"/>
        </w:rPr>
        <w:t>in</w:t>
      </w:r>
      <w:r w:rsidR="006508CB">
        <w:rPr>
          <w:lang w:val="sv-SE" w:eastAsia="ja-JP"/>
        </w:rPr>
        <w:t xml:space="preserve"> </w:t>
      </w:r>
      <w:r w:rsidR="0074188D">
        <w:rPr>
          <w:lang w:val="sv-SE" w:eastAsia="ja-JP"/>
        </w:rPr>
        <w:t xml:space="preserve">case of uncoordinated deployement, </w:t>
      </w:r>
      <w:r>
        <w:rPr>
          <w:lang w:val="sv-SE" w:eastAsia="ja-JP"/>
        </w:rPr>
        <w:t>t</w:t>
      </w:r>
      <w:r w:rsidR="00E818CA">
        <w:rPr>
          <w:lang w:val="sv-SE" w:eastAsia="ja-JP"/>
        </w:rPr>
        <w:t>h</w:t>
      </w:r>
      <w:r>
        <w:rPr>
          <w:lang w:val="sv-SE" w:eastAsia="ja-JP"/>
        </w:rPr>
        <w:t>e</w:t>
      </w:r>
      <w:r w:rsidR="00E818CA">
        <w:rPr>
          <w:lang w:val="sv-SE" w:eastAsia="ja-JP"/>
        </w:rPr>
        <w:t xml:space="preserve"> </w:t>
      </w:r>
      <w:r w:rsidR="00830516">
        <w:rPr>
          <w:lang w:val="sv-SE" w:eastAsia="ja-JP"/>
        </w:rPr>
        <w:t xml:space="preserve">ECC </w:t>
      </w:r>
      <w:r w:rsidR="00E818CA">
        <w:rPr>
          <w:lang w:val="sv-SE" w:eastAsia="ja-JP"/>
        </w:rPr>
        <w:t xml:space="preserve">Decision assumes that </w:t>
      </w:r>
      <w:r w:rsidR="00073FEA">
        <w:rPr>
          <w:lang w:val="sv-SE" w:eastAsia="ja-JP"/>
        </w:rPr>
        <w:t>MFCN BS located near a RMR site should have an enhanced selectivity</w:t>
      </w:r>
      <w:r w:rsidR="00130A7E">
        <w:rPr>
          <w:lang w:val="sv-SE" w:eastAsia="ja-JP"/>
        </w:rPr>
        <w:t>. I</w:t>
      </w:r>
      <w:r w:rsidR="00073FEA">
        <w:rPr>
          <w:lang w:val="sv-SE" w:eastAsia="ja-JP"/>
        </w:rPr>
        <w:t xml:space="preserve">f not, the MFCN </w:t>
      </w:r>
      <w:r w:rsidR="00130A7E">
        <w:rPr>
          <w:lang w:val="sv-SE" w:eastAsia="ja-JP"/>
        </w:rPr>
        <w:t xml:space="preserve">BS </w:t>
      </w:r>
      <w:r w:rsidR="00073FEA">
        <w:rPr>
          <w:lang w:val="sv-SE" w:eastAsia="ja-JP"/>
        </w:rPr>
        <w:t xml:space="preserve">would </w:t>
      </w:r>
      <w:r w:rsidR="00130A7E">
        <w:rPr>
          <w:lang w:val="sv-SE" w:eastAsia="ja-JP"/>
        </w:rPr>
        <w:t xml:space="preserve">most likely </w:t>
      </w:r>
      <w:r w:rsidR="00073FEA">
        <w:rPr>
          <w:lang w:val="sv-SE" w:eastAsia="ja-JP"/>
        </w:rPr>
        <w:t xml:space="preserve">suffer of interference. </w:t>
      </w:r>
    </w:p>
    <w:p w14:paraId="1A4C0F30" w14:textId="4F5144A6" w:rsidR="00AD264E" w:rsidRDefault="00AD264E" w:rsidP="00AD264E">
      <w:pPr>
        <w:rPr>
          <w:b/>
          <w:bCs/>
          <w:lang w:val="sv-SE" w:eastAsia="ja-JP"/>
        </w:rPr>
      </w:pPr>
      <w:r w:rsidRPr="00AD264E">
        <w:rPr>
          <w:b/>
          <w:bCs/>
          <w:lang w:val="sv-SE" w:eastAsia="ja-JP"/>
        </w:rPr>
        <w:t>Observation1</w:t>
      </w:r>
      <w:r w:rsidR="00F65D26">
        <w:rPr>
          <w:b/>
          <w:bCs/>
          <w:lang w:val="sv-SE" w:eastAsia="ja-JP"/>
        </w:rPr>
        <w:t>6</w:t>
      </w:r>
      <w:r w:rsidRPr="00AD264E">
        <w:rPr>
          <w:b/>
          <w:bCs/>
          <w:lang w:val="sv-SE" w:eastAsia="ja-JP"/>
        </w:rPr>
        <w:t xml:space="preserve">: FRMCS band n101 definition follows the existing European Regulation which assumed a MFCN BS enhanced selectivity to address the interferences issue. </w:t>
      </w:r>
    </w:p>
    <w:p w14:paraId="3B70AF2B" w14:textId="286674E3" w:rsidR="00AD264E" w:rsidRDefault="000C226B" w:rsidP="00C956D6">
      <w:pPr>
        <w:rPr>
          <w:lang w:val="sv-SE" w:eastAsia="ja-JP"/>
        </w:rPr>
      </w:pPr>
      <w:r w:rsidRPr="00132079">
        <w:rPr>
          <w:lang w:val="sv-SE" w:eastAsia="ja-JP"/>
        </w:rPr>
        <w:t xml:space="preserve"> </w:t>
      </w:r>
      <w:r w:rsidR="00132079" w:rsidRPr="00132079">
        <w:rPr>
          <w:lang w:val="sv-SE" w:eastAsia="ja-JP"/>
        </w:rPr>
        <w:t>In the following table, we recap the different alternatives mentioned in this contribution.</w:t>
      </w:r>
    </w:p>
    <w:tbl>
      <w:tblPr>
        <w:tblStyle w:val="TableGrid"/>
        <w:tblW w:w="0" w:type="auto"/>
        <w:tblLook w:val="04A0" w:firstRow="1" w:lastRow="0" w:firstColumn="1" w:lastColumn="0" w:noHBand="0" w:noVBand="1"/>
      </w:tblPr>
      <w:tblGrid>
        <w:gridCol w:w="4248"/>
        <w:gridCol w:w="5383"/>
      </w:tblGrid>
      <w:tr w:rsidR="0035784E" w14:paraId="26A43AE1" w14:textId="77777777" w:rsidTr="00675F7D">
        <w:trPr>
          <w:trHeight w:val="336"/>
        </w:trPr>
        <w:tc>
          <w:tcPr>
            <w:tcW w:w="4248" w:type="dxa"/>
            <w:shd w:val="clear" w:color="auto" w:fill="D9D9D9" w:themeFill="background1" w:themeFillShade="D9"/>
          </w:tcPr>
          <w:p w14:paraId="68653F73" w14:textId="3E9F5BD8" w:rsidR="0035784E" w:rsidRDefault="00577654" w:rsidP="004E5F16">
            <w:pPr>
              <w:pStyle w:val="TAH"/>
              <w:rPr>
                <w:lang w:eastAsia="ja-JP"/>
              </w:rPr>
            </w:pPr>
            <w:r>
              <w:rPr>
                <w:lang w:val="en-US" w:eastAsia="ja-JP"/>
              </w:rPr>
              <w:t>Considered o</w:t>
            </w:r>
            <w:r w:rsidR="004E5F16">
              <w:rPr>
                <w:lang w:eastAsia="ja-JP"/>
              </w:rPr>
              <w:t>ptions</w:t>
            </w:r>
          </w:p>
        </w:tc>
        <w:tc>
          <w:tcPr>
            <w:tcW w:w="5383" w:type="dxa"/>
            <w:shd w:val="clear" w:color="auto" w:fill="D9D9D9" w:themeFill="background1" w:themeFillShade="D9"/>
          </w:tcPr>
          <w:p w14:paraId="0F4008F4" w14:textId="6500CAE4" w:rsidR="0035784E" w:rsidRDefault="00431124" w:rsidP="004E5F16">
            <w:pPr>
              <w:pStyle w:val="TAH"/>
              <w:rPr>
                <w:lang w:eastAsia="ja-JP"/>
              </w:rPr>
            </w:pPr>
            <w:r>
              <w:rPr>
                <w:lang w:eastAsia="ja-JP"/>
              </w:rPr>
              <w:t>Comment</w:t>
            </w:r>
          </w:p>
        </w:tc>
      </w:tr>
      <w:tr w:rsidR="0035784E" w14:paraId="284D4022" w14:textId="77777777" w:rsidTr="00675F7D">
        <w:trPr>
          <w:trHeight w:val="270"/>
        </w:trPr>
        <w:tc>
          <w:tcPr>
            <w:tcW w:w="4248" w:type="dxa"/>
          </w:tcPr>
          <w:p w14:paraId="05739319" w14:textId="23D1CE92" w:rsidR="0035784E" w:rsidRPr="002379A7" w:rsidRDefault="0035784E" w:rsidP="004E5F16">
            <w:pPr>
              <w:pStyle w:val="TAL"/>
              <w:rPr>
                <w:rFonts w:ascii="Calibri" w:eastAsia="SimSun" w:hAnsi="Calibri"/>
                <w:sz w:val="22"/>
                <w:lang w:val="sv-SE" w:eastAsia="ja-JP"/>
              </w:rPr>
            </w:pPr>
            <w:r w:rsidRPr="002379A7">
              <w:rPr>
                <w:rFonts w:ascii="Calibri" w:eastAsia="SimSun" w:hAnsi="Calibri"/>
                <w:sz w:val="22"/>
                <w:lang w:val="sv-SE" w:eastAsia="ja-JP"/>
              </w:rPr>
              <w:t>Coordinated deployment</w:t>
            </w:r>
          </w:p>
        </w:tc>
        <w:tc>
          <w:tcPr>
            <w:tcW w:w="5383" w:type="dxa"/>
          </w:tcPr>
          <w:p w14:paraId="3DDED2E4" w14:textId="012A1948" w:rsidR="0035784E" w:rsidRPr="002379A7" w:rsidRDefault="00DE0014" w:rsidP="004E5F16">
            <w:pPr>
              <w:pStyle w:val="TAL"/>
              <w:rPr>
                <w:rFonts w:ascii="Calibri" w:eastAsia="SimSun" w:hAnsi="Calibri"/>
                <w:sz w:val="22"/>
                <w:lang w:val="sv-SE" w:eastAsia="ja-JP"/>
              </w:rPr>
            </w:pPr>
            <w:r w:rsidRPr="002379A7">
              <w:rPr>
                <w:rFonts w:ascii="Calibri" w:eastAsia="SimSun" w:hAnsi="Calibri"/>
                <w:sz w:val="22"/>
                <w:lang w:val="sv-SE" w:eastAsia="ja-JP"/>
              </w:rPr>
              <w:t>This m</w:t>
            </w:r>
            <w:r w:rsidR="001913F6" w:rsidRPr="002379A7">
              <w:rPr>
                <w:rFonts w:ascii="Calibri" w:eastAsia="SimSun" w:hAnsi="Calibri"/>
                <w:sz w:val="22"/>
                <w:lang w:val="sv-SE" w:eastAsia="ja-JP"/>
              </w:rPr>
              <w:t xml:space="preserve">ight have some impacts on </w:t>
            </w:r>
            <w:r w:rsidR="00431124" w:rsidRPr="002379A7">
              <w:rPr>
                <w:rFonts w:ascii="Calibri" w:eastAsia="SimSun" w:hAnsi="Calibri"/>
                <w:sz w:val="22"/>
                <w:lang w:val="sv-SE" w:eastAsia="ja-JP"/>
              </w:rPr>
              <w:t>FRMCS deployment</w:t>
            </w:r>
            <w:r w:rsidR="001913F6" w:rsidRPr="002379A7">
              <w:rPr>
                <w:rFonts w:ascii="Calibri" w:eastAsia="SimSun" w:hAnsi="Calibri"/>
                <w:sz w:val="22"/>
                <w:lang w:val="sv-SE" w:eastAsia="ja-JP"/>
              </w:rPr>
              <w:t>.</w:t>
            </w:r>
          </w:p>
        </w:tc>
      </w:tr>
      <w:tr w:rsidR="0035784E" w14:paraId="6041959A" w14:textId="77777777" w:rsidTr="00675F7D">
        <w:tc>
          <w:tcPr>
            <w:tcW w:w="4248" w:type="dxa"/>
          </w:tcPr>
          <w:p w14:paraId="36A220E2" w14:textId="26018E52" w:rsidR="0035784E" w:rsidRPr="002379A7" w:rsidRDefault="008B0C6A" w:rsidP="004E5F16">
            <w:pPr>
              <w:pStyle w:val="TAL"/>
              <w:rPr>
                <w:rFonts w:ascii="Calibri" w:eastAsia="SimSun" w:hAnsi="Calibri"/>
                <w:sz w:val="22"/>
                <w:lang w:val="sv-SE" w:eastAsia="ja-JP"/>
              </w:rPr>
            </w:pPr>
            <w:r w:rsidRPr="002379A7">
              <w:rPr>
                <w:rFonts w:ascii="Calibri" w:eastAsia="SimSun" w:hAnsi="Calibri"/>
                <w:sz w:val="22"/>
                <w:lang w:val="sv-SE" w:eastAsia="ja-JP"/>
              </w:rPr>
              <w:t>Mitigation measures (e.g. adjusting antenna directivity, azimuth, tilt)</w:t>
            </w:r>
          </w:p>
        </w:tc>
        <w:tc>
          <w:tcPr>
            <w:tcW w:w="5383" w:type="dxa"/>
          </w:tcPr>
          <w:p w14:paraId="04D4515A" w14:textId="7CCCCEEA" w:rsidR="0035784E" w:rsidRPr="002379A7" w:rsidRDefault="00860314" w:rsidP="004E5F16">
            <w:pPr>
              <w:pStyle w:val="TAL"/>
              <w:rPr>
                <w:rFonts w:ascii="Calibri" w:eastAsia="SimSun" w:hAnsi="Calibri"/>
                <w:sz w:val="22"/>
                <w:lang w:val="sv-SE" w:eastAsia="ja-JP"/>
              </w:rPr>
            </w:pPr>
            <w:r w:rsidRPr="002379A7">
              <w:rPr>
                <w:rFonts w:ascii="Calibri" w:eastAsia="SimSun" w:hAnsi="Calibri"/>
                <w:sz w:val="22"/>
                <w:lang w:val="sv-SE" w:eastAsia="ja-JP"/>
              </w:rPr>
              <w:t xml:space="preserve">It won’t be possible most likely to </w:t>
            </w:r>
            <w:r w:rsidR="004F1C76" w:rsidRPr="002379A7">
              <w:rPr>
                <w:rFonts w:ascii="Calibri" w:eastAsia="SimSun" w:hAnsi="Calibri"/>
                <w:sz w:val="22"/>
                <w:lang w:val="sv-SE" w:eastAsia="ja-JP"/>
              </w:rPr>
              <w:t>solve all situations.</w:t>
            </w:r>
          </w:p>
        </w:tc>
      </w:tr>
      <w:tr w:rsidR="00884AC7" w14:paraId="46E5B776" w14:textId="77777777" w:rsidTr="00675F7D">
        <w:tc>
          <w:tcPr>
            <w:tcW w:w="4248" w:type="dxa"/>
          </w:tcPr>
          <w:p w14:paraId="26D3C51C" w14:textId="1B189865" w:rsidR="00884AC7" w:rsidRPr="002379A7" w:rsidRDefault="00884AC7" w:rsidP="00884AC7">
            <w:pPr>
              <w:pStyle w:val="TAL"/>
              <w:rPr>
                <w:rFonts w:ascii="Calibri" w:hAnsi="Calibri"/>
                <w:sz w:val="22"/>
                <w:lang w:val="sv-SE" w:eastAsia="ja-JP"/>
              </w:rPr>
            </w:pPr>
            <w:r>
              <w:rPr>
                <w:rFonts w:ascii="Calibri" w:hAnsi="Calibri"/>
                <w:sz w:val="22"/>
                <w:lang w:val="sv-SE" w:eastAsia="ja-JP"/>
              </w:rPr>
              <w:t>Specify more stringent in-block requirement (BS maximum output power) for uncoordinated deployment</w:t>
            </w:r>
          </w:p>
        </w:tc>
        <w:tc>
          <w:tcPr>
            <w:tcW w:w="5383" w:type="dxa"/>
          </w:tcPr>
          <w:p w14:paraId="77E155B4" w14:textId="77777777" w:rsidR="00884AC7" w:rsidRDefault="00884AC7" w:rsidP="00884AC7">
            <w:pPr>
              <w:pStyle w:val="TAL"/>
              <w:rPr>
                <w:rFonts w:ascii="Calibri" w:hAnsi="Calibri"/>
                <w:sz w:val="22"/>
                <w:lang w:val="sv-SE" w:eastAsia="ja-JP"/>
              </w:rPr>
            </w:pPr>
            <w:r>
              <w:rPr>
                <w:rFonts w:ascii="Calibri" w:hAnsi="Calibri"/>
                <w:sz w:val="22"/>
                <w:lang w:val="sv-SE" w:eastAsia="ja-JP"/>
              </w:rPr>
              <w:t xml:space="preserve">This would increase FRMCS deployment cost and complexity. </w:t>
            </w:r>
          </w:p>
          <w:p w14:paraId="253D9765" w14:textId="1AA1C1CB" w:rsidR="00884AC7" w:rsidRPr="002379A7" w:rsidRDefault="00884AC7" w:rsidP="00884AC7">
            <w:pPr>
              <w:pStyle w:val="TAL"/>
              <w:rPr>
                <w:rFonts w:ascii="Calibri" w:hAnsi="Calibri"/>
                <w:sz w:val="22"/>
                <w:lang w:val="sv-SE" w:eastAsia="ja-JP"/>
              </w:rPr>
            </w:pPr>
            <w:r w:rsidRPr="002379A7">
              <w:rPr>
                <w:rFonts w:ascii="Calibri" w:eastAsia="SimSun" w:hAnsi="Calibri"/>
                <w:sz w:val="22"/>
                <w:lang w:val="sv-SE" w:eastAsia="ja-JP"/>
              </w:rPr>
              <w:t xml:space="preserve">ECC Decision(20)02 </w:t>
            </w:r>
            <w:r>
              <w:rPr>
                <w:rFonts w:ascii="Calibri" w:eastAsia="SimSun" w:hAnsi="Calibri"/>
                <w:sz w:val="22"/>
                <w:lang w:val="sv-SE" w:eastAsia="ja-JP"/>
              </w:rPr>
              <w:t xml:space="preserve">and EC Decision 2021/1730 </w:t>
            </w:r>
            <w:r w:rsidRPr="002379A7">
              <w:rPr>
                <w:rFonts w:ascii="Calibri" w:eastAsia="SimSun" w:hAnsi="Calibri"/>
                <w:sz w:val="22"/>
                <w:lang w:val="sv-SE" w:eastAsia="ja-JP"/>
              </w:rPr>
              <w:t>would still need to be updated accordingly.</w:t>
            </w:r>
          </w:p>
        </w:tc>
      </w:tr>
      <w:tr w:rsidR="00884AC7" w14:paraId="486808FB" w14:textId="77777777" w:rsidTr="00675F7D">
        <w:tc>
          <w:tcPr>
            <w:tcW w:w="4248" w:type="dxa"/>
          </w:tcPr>
          <w:p w14:paraId="4F151FB8" w14:textId="6917657E" w:rsidR="00884AC7" w:rsidRPr="002379A7" w:rsidRDefault="00884AC7" w:rsidP="00884AC7">
            <w:pPr>
              <w:pStyle w:val="TAL"/>
              <w:rPr>
                <w:rFonts w:ascii="Calibri" w:eastAsia="SimSun" w:hAnsi="Calibri"/>
                <w:sz w:val="22"/>
                <w:lang w:val="sv-SE" w:eastAsia="ja-JP"/>
              </w:rPr>
            </w:pPr>
            <w:r w:rsidRPr="002379A7">
              <w:rPr>
                <w:rFonts w:ascii="Calibri" w:eastAsia="SimSun" w:hAnsi="Calibri"/>
                <w:sz w:val="22"/>
                <w:lang w:val="sv-SE" w:eastAsia="ja-JP"/>
              </w:rPr>
              <w:t>Specify more stringent EIRP baseline to protect the 1920-1980 MHz frequency range</w:t>
            </w:r>
          </w:p>
        </w:tc>
        <w:tc>
          <w:tcPr>
            <w:tcW w:w="5383" w:type="dxa"/>
          </w:tcPr>
          <w:p w14:paraId="786EA976" w14:textId="37A87C69" w:rsidR="00884AC7" w:rsidRPr="002379A7" w:rsidRDefault="00884AC7" w:rsidP="00884AC7">
            <w:pPr>
              <w:pStyle w:val="TAL"/>
              <w:rPr>
                <w:rFonts w:ascii="Calibri" w:eastAsia="SimSun" w:hAnsi="Calibri"/>
                <w:sz w:val="22"/>
                <w:lang w:val="sv-SE" w:eastAsia="ja-JP"/>
              </w:rPr>
            </w:pPr>
            <w:r w:rsidRPr="002379A7">
              <w:rPr>
                <w:rFonts w:ascii="Calibri" w:eastAsia="SimSun" w:hAnsi="Calibri"/>
                <w:sz w:val="22"/>
                <w:lang w:val="sv-SE" w:eastAsia="ja-JP"/>
              </w:rPr>
              <w:t xml:space="preserve">ECC Decision(20)02 </w:t>
            </w:r>
            <w:r>
              <w:rPr>
                <w:rFonts w:ascii="Calibri" w:eastAsia="SimSun" w:hAnsi="Calibri"/>
                <w:sz w:val="22"/>
                <w:lang w:val="sv-SE" w:eastAsia="ja-JP"/>
              </w:rPr>
              <w:t xml:space="preserve">and EC Decision 2021/1730 </w:t>
            </w:r>
            <w:r w:rsidRPr="002379A7">
              <w:rPr>
                <w:rFonts w:ascii="Calibri" w:eastAsia="SimSun" w:hAnsi="Calibri"/>
                <w:sz w:val="22"/>
                <w:lang w:val="sv-SE" w:eastAsia="ja-JP"/>
              </w:rPr>
              <w:t>would still need to be updated accordingly.</w:t>
            </w:r>
          </w:p>
        </w:tc>
      </w:tr>
    </w:tbl>
    <w:p w14:paraId="186D6207" w14:textId="3614CFFC" w:rsidR="002343A1" w:rsidRDefault="002343A1">
      <w:pPr>
        <w:spacing w:after="0"/>
        <w:rPr>
          <w:lang w:val="sv-SE" w:eastAsia="ja-JP"/>
        </w:rPr>
      </w:pPr>
      <w:r>
        <w:rPr>
          <w:lang w:val="sv-SE" w:eastAsia="ja-JP"/>
        </w:rPr>
        <w:br w:type="page"/>
      </w:r>
    </w:p>
    <w:p w14:paraId="23C76744" w14:textId="79B4C3CB" w:rsidR="005C07DD" w:rsidRDefault="005C07DD" w:rsidP="00CB0994">
      <w:pPr>
        <w:pStyle w:val="Heading1"/>
        <w:numPr>
          <w:ilvl w:val="0"/>
          <w:numId w:val="1"/>
        </w:numPr>
      </w:pPr>
      <w:r>
        <w:rPr>
          <w:rFonts w:hint="eastAsia"/>
          <w:sz w:val="32"/>
          <w:lang w:val="en-GB"/>
        </w:rPr>
        <w:lastRenderedPageBreak/>
        <w:t>Conclusion</w:t>
      </w:r>
    </w:p>
    <w:p w14:paraId="00C03EE9" w14:textId="7045DC9B" w:rsidR="005C07DD" w:rsidRDefault="00225A5D" w:rsidP="005C07DD">
      <w:pPr>
        <w:spacing w:after="120"/>
      </w:pPr>
      <w:r w:rsidRPr="002638B0">
        <w:t xml:space="preserve">In this contribution, we </w:t>
      </w:r>
      <w:r w:rsidR="002605AA">
        <w:t xml:space="preserve">shared the background of the </w:t>
      </w:r>
      <w:r w:rsidR="00860E97">
        <w:t xml:space="preserve">regulation related to band n101 and listed some possible </w:t>
      </w:r>
      <w:r w:rsidR="004A3B6D">
        <w:t xml:space="preserve">measure to </w:t>
      </w:r>
      <w:r w:rsidR="00BB5962">
        <w:t>minimize</w:t>
      </w:r>
      <w:r w:rsidR="004A3B6D">
        <w:t xml:space="preserve"> </w:t>
      </w:r>
      <w:r w:rsidR="00D85248">
        <w:t xml:space="preserve">interference </w:t>
      </w:r>
      <w:r w:rsidR="0040416D">
        <w:t>from</w:t>
      </w:r>
      <w:r w:rsidR="00D85248">
        <w:t xml:space="preserve"> bands n101 </w:t>
      </w:r>
      <w:r w:rsidR="0040416D">
        <w:t>on existing networks</w:t>
      </w:r>
      <w:r w:rsidR="00D85248">
        <w:t xml:space="preserve">. We made the following observations: </w:t>
      </w:r>
    </w:p>
    <w:p w14:paraId="4895C0A3" w14:textId="77777777" w:rsidR="0093191C" w:rsidRPr="002A4FDE" w:rsidRDefault="0093191C" w:rsidP="0093191C">
      <w:pPr>
        <w:rPr>
          <w:b/>
          <w:bCs/>
        </w:rPr>
      </w:pPr>
      <w:r w:rsidRPr="002A4FDE">
        <w:rPr>
          <w:b/>
          <w:bCs/>
        </w:rPr>
        <w:t>Observation1: The European Commission mandated CEPT to assess the 1900-1920 MHz frequency range for the future railway mobile communication system.</w:t>
      </w:r>
    </w:p>
    <w:p w14:paraId="68DFC7A5" w14:textId="77777777" w:rsidR="0093191C" w:rsidRPr="00270883" w:rsidRDefault="0093191C" w:rsidP="0093191C">
      <w:pPr>
        <w:rPr>
          <w:b/>
          <w:bCs/>
          <w:lang w:val="sv-SE"/>
        </w:rPr>
      </w:pPr>
      <w:r w:rsidRPr="00270883">
        <w:rPr>
          <w:b/>
          <w:bCs/>
          <w:lang w:val="sv-SE"/>
        </w:rPr>
        <w:t>Observation2: ECC Report 313 studies the compatability of FRMCS in the 900 MHz range with adjacent services</w:t>
      </w:r>
      <w:r>
        <w:rPr>
          <w:b/>
          <w:bCs/>
          <w:lang w:val="sv-SE"/>
        </w:rPr>
        <w:t>.</w:t>
      </w:r>
    </w:p>
    <w:p w14:paraId="326C90D8" w14:textId="77777777" w:rsidR="0093191C" w:rsidRPr="00AA5394" w:rsidRDefault="0093191C" w:rsidP="0093191C">
      <w:pPr>
        <w:rPr>
          <w:b/>
          <w:bCs/>
          <w:lang w:val="sv-SE"/>
        </w:rPr>
      </w:pPr>
      <w:r w:rsidRPr="00AA5394">
        <w:rPr>
          <w:b/>
          <w:bCs/>
          <w:lang w:val="sv-SE"/>
        </w:rPr>
        <w:t>Observation3: ECC Report 314 studies the compatability of RMR in the 1900-1920 MHz frequency range with adjacent services, focusing on the interference of MFCN on FRMCS.</w:t>
      </w:r>
    </w:p>
    <w:p w14:paraId="33271C5B" w14:textId="77777777" w:rsidR="000D61AA" w:rsidRPr="00AA5394" w:rsidRDefault="000D61AA" w:rsidP="000D61AA">
      <w:pPr>
        <w:rPr>
          <w:b/>
          <w:bCs/>
          <w:lang w:val="sv-SE"/>
        </w:rPr>
      </w:pPr>
      <w:r w:rsidRPr="00AA5394">
        <w:rPr>
          <w:b/>
          <w:bCs/>
          <w:lang w:val="sv-SE"/>
        </w:rPr>
        <w:t>Observation</w:t>
      </w:r>
      <w:r>
        <w:rPr>
          <w:b/>
          <w:bCs/>
          <w:lang w:val="sv-SE"/>
        </w:rPr>
        <w:t>4:</w:t>
      </w:r>
      <w:r w:rsidRPr="00AA5394">
        <w:rPr>
          <w:b/>
          <w:bCs/>
          <w:lang w:val="sv-SE"/>
        </w:rPr>
        <w:t xml:space="preserve"> ECC Report 31</w:t>
      </w:r>
      <w:r>
        <w:rPr>
          <w:b/>
          <w:bCs/>
          <w:lang w:val="sv-SE"/>
        </w:rPr>
        <w:t>8</w:t>
      </w:r>
      <w:r w:rsidRPr="00AA5394">
        <w:rPr>
          <w:b/>
          <w:bCs/>
          <w:lang w:val="sv-SE"/>
        </w:rPr>
        <w:t xml:space="preserve"> studies the compatability </w:t>
      </w:r>
      <w:r>
        <w:rPr>
          <w:b/>
          <w:bCs/>
          <w:lang w:val="sv-SE"/>
        </w:rPr>
        <w:t>between</w:t>
      </w:r>
      <w:r w:rsidRPr="00AA5394">
        <w:rPr>
          <w:b/>
          <w:bCs/>
          <w:lang w:val="sv-SE"/>
        </w:rPr>
        <w:t xml:space="preserve"> RMR in the 1900-19</w:t>
      </w:r>
      <w:r>
        <w:rPr>
          <w:b/>
          <w:bCs/>
          <w:lang w:val="sv-SE"/>
        </w:rPr>
        <w:t>1</w:t>
      </w:r>
      <w:r w:rsidRPr="00AA5394">
        <w:rPr>
          <w:b/>
          <w:bCs/>
          <w:lang w:val="sv-SE"/>
        </w:rPr>
        <w:t>0 MHz frequency range</w:t>
      </w:r>
      <w:r>
        <w:rPr>
          <w:b/>
          <w:bCs/>
          <w:lang w:val="sv-SE"/>
        </w:rPr>
        <w:t xml:space="preserve"> and MFCN above 1920 MHz</w:t>
      </w:r>
      <w:r w:rsidRPr="00AA5394">
        <w:rPr>
          <w:b/>
          <w:bCs/>
          <w:lang w:val="sv-SE"/>
        </w:rPr>
        <w:t>.</w:t>
      </w:r>
    </w:p>
    <w:p w14:paraId="227490DC" w14:textId="77777777" w:rsidR="0093191C" w:rsidRPr="00627AA4" w:rsidRDefault="0093191C" w:rsidP="002343A1">
      <w:pPr>
        <w:rPr>
          <w:b/>
          <w:bCs/>
          <w:lang w:val="sv-SE"/>
        </w:rPr>
      </w:pPr>
      <w:r w:rsidRPr="00627AA4">
        <w:rPr>
          <w:b/>
          <w:bCs/>
          <w:lang w:val="sv-SE"/>
        </w:rPr>
        <w:t>Observation5: Despite the concern of BS manufacturers and operators, the CEPT Administrations decided to assume a</w:t>
      </w:r>
      <w:r>
        <w:rPr>
          <w:b/>
          <w:bCs/>
          <w:lang w:val="sv-SE"/>
        </w:rPr>
        <w:t xml:space="preserve"> considerable</w:t>
      </w:r>
      <w:r w:rsidRPr="00627AA4">
        <w:rPr>
          <w:b/>
          <w:bCs/>
          <w:lang w:val="sv-SE"/>
        </w:rPr>
        <w:t xml:space="preserve"> </w:t>
      </w:r>
      <w:r>
        <w:rPr>
          <w:b/>
          <w:bCs/>
          <w:lang w:val="sv-SE"/>
        </w:rPr>
        <w:t>improvement</w:t>
      </w:r>
      <w:r w:rsidRPr="00627AA4">
        <w:rPr>
          <w:b/>
          <w:bCs/>
          <w:lang w:val="sv-SE"/>
        </w:rPr>
        <w:t xml:space="preserve"> of MFCN BS selectivity (band n1)</w:t>
      </w:r>
      <w:r>
        <w:rPr>
          <w:b/>
          <w:bCs/>
          <w:lang w:val="sv-SE"/>
        </w:rPr>
        <w:t xml:space="preserve"> when specifying FRMCS BS maximum EIRP for uncoordinated deployment. </w:t>
      </w:r>
    </w:p>
    <w:p w14:paraId="52F2D8B8" w14:textId="2C0FD57E" w:rsidR="0093191C" w:rsidRPr="0084468B" w:rsidRDefault="0093191C" w:rsidP="002343A1">
      <w:pPr>
        <w:rPr>
          <w:lang w:val="sv-SE"/>
        </w:rPr>
      </w:pPr>
      <w:r w:rsidRPr="00AA5394">
        <w:rPr>
          <w:b/>
          <w:bCs/>
          <w:lang w:val="sv-SE"/>
        </w:rPr>
        <w:t>Observation</w:t>
      </w:r>
      <w:r>
        <w:rPr>
          <w:b/>
          <w:bCs/>
          <w:lang w:val="sv-SE"/>
        </w:rPr>
        <w:t>6:</w:t>
      </w:r>
      <w:r w:rsidRPr="00AA5394">
        <w:rPr>
          <w:b/>
          <w:bCs/>
          <w:lang w:val="sv-SE"/>
        </w:rPr>
        <w:t xml:space="preserve"> </w:t>
      </w:r>
      <w:r>
        <w:rPr>
          <w:b/>
          <w:bCs/>
          <w:lang w:val="sv-SE"/>
        </w:rPr>
        <w:t>CEPT</w:t>
      </w:r>
      <w:r w:rsidRPr="00AA5394">
        <w:rPr>
          <w:b/>
          <w:bCs/>
          <w:lang w:val="sv-SE"/>
        </w:rPr>
        <w:t xml:space="preserve"> Report </w:t>
      </w:r>
      <w:r>
        <w:rPr>
          <w:b/>
          <w:bCs/>
          <w:lang w:val="sv-SE"/>
        </w:rPr>
        <w:t>74 answers tasks 1 to 4 of the EC Mandate, based on ECC Reports 313, 314 and 318.</w:t>
      </w:r>
    </w:p>
    <w:p w14:paraId="475F4737" w14:textId="77777777" w:rsidR="00403C05" w:rsidRPr="0084468B" w:rsidRDefault="00403C05" w:rsidP="00403C05">
      <w:pPr>
        <w:tabs>
          <w:tab w:val="left" w:pos="4190"/>
        </w:tabs>
        <w:rPr>
          <w:lang w:val="sv-SE"/>
        </w:rPr>
      </w:pPr>
      <w:r w:rsidRPr="0084468B">
        <w:rPr>
          <w:b/>
          <w:bCs/>
          <w:lang w:val="sv-SE"/>
        </w:rPr>
        <w:t>Observation</w:t>
      </w:r>
      <w:r>
        <w:rPr>
          <w:b/>
          <w:bCs/>
          <w:lang w:val="sv-SE"/>
        </w:rPr>
        <w:t>7</w:t>
      </w:r>
      <w:r w:rsidRPr="0084468B">
        <w:rPr>
          <w:b/>
          <w:bCs/>
          <w:lang w:val="sv-SE"/>
        </w:rPr>
        <w:t>: CEPT Report 7</w:t>
      </w:r>
      <w:r>
        <w:rPr>
          <w:b/>
          <w:bCs/>
          <w:lang w:val="sv-SE"/>
        </w:rPr>
        <w:t>6</w:t>
      </w:r>
      <w:r w:rsidRPr="0084468B">
        <w:rPr>
          <w:b/>
          <w:bCs/>
          <w:lang w:val="sv-SE"/>
        </w:rPr>
        <w:t xml:space="preserve"> answers task </w:t>
      </w:r>
      <w:r>
        <w:rPr>
          <w:b/>
          <w:bCs/>
          <w:lang w:val="sv-SE"/>
        </w:rPr>
        <w:t>5</w:t>
      </w:r>
      <w:r w:rsidRPr="0084468B">
        <w:rPr>
          <w:b/>
          <w:bCs/>
          <w:lang w:val="sv-SE"/>
        </w:rPr>
        <w:t xml:space="preserve"> of the EC Mandate, based on ECC Reports 313, 314 and 318.</w:t>
      </w:r>
    </w:p>
    <w:p w14:paraId="2B85AEE0" w14:textId="77777777" w:rsidR="00403C05" w:rsidRDefault="00403C05" w:rsidP="00403C05">
      <w:pPr>
        <w:rPr>
          <w:lang w:val="sv-SE"/>
        </w:rPr>
      </w:pPr>
      <w:r w:rsidRPr="0084468B">
        <w:rPr>
          <w:b/>
          <w:bCs/>
          <w:lang w:val="sv-SE"/>
        </w:rPr>
        <w:t>Observation</w:t>
      </w:r>
      <w:r>
        <w:rPr>
          <w:b/>
          <w:bCs/>
          <w:lang w:val="sv-SE"/>
        </w:rPr>
        <w:t>8</w:t>
      </w:r>
      <w:r w:rsidRPr="0084468B">
        <w:rPr>
          <w:b/>
          <w:bCs/>
          <w:lang w:val="sv-SE"/>
        </w:rPr>
        <w:t xml:space="preserve">: </w:t>
      </w:r>
      <w:r>
        <w:rPr>
          <w:b/>
          <w:bCs/>
          <w:lang w:val="sv-SE"/>
        </w:rPr>
        <w:t>ECC Decision(20)</w:t>
      </w:r>
      <w:r w:rsidRPr="004F3A50">
        <w:rPr>
          <w:b/>
          <w:bCs/>
          <w:lang w:val="sv-SE"/>
        </w:rPr>
        <w:t>02 regulates the RMR technical and operational parameters in the frequency band 1900-1910 MHz, assuming an enhanced selectivity (compare</w:t>
      </w:r>
      <w:r>
        <w:rPr>
          <w:b/>
          <w:bCs/>
          <w:lang w:val="sv-SE"/>
        </w:rPr>
        <w:t>d</w:t>
      </w:r>
      <w:r w:rsidRPr="004F3A50">
        <w:rPr>
          <w:b/>
          <w:bCs/>
          <w:lang w:val="sv-SE"/>
        </w:rPr>
        <w:t xml:space="preserve"> to the current Harmonized Standards) of MFCN BS in band n1.</w:t>
      </w:r>
    </w:p>
    <w:p w14:paraId="197B8013" w14:textId="77777777" w:rsidR="00D506EE" w:rsidRDefault="00D506EE" w:rsidP="00D506EE">
      <w:pPr>
        <w:rPr>
          <w:lang w:val="sv-SE"/>
        </w:rPr>
      </w:pPr>
      <w:r w:rsidRPr="0084468B">
        <w:rPr>
          <w:b/>
          <w:bCs/>
          <w:lang w:val="sv-SE"/>
        </w:rPr>
        <w:t>Observation</w:t>
      </w:r>
      <w:r>
        <w:rPr>
          <w:b/>
          <w:bCs/>
          <w:lang w:val="sv-SE"/>
        </w:rPr>
        <w:t>9</w:t>
      </w:r>
      <w:r w:rsidRPr="0084468B">
        <w:rPr>
          <w:b/>
          <w:bCs/>
          <w:lang w:val="sv-SE"/>
        </w:rPr>
        <w:t xml:space="preserve">: </w:t>
      </w:r>
      <w:r>
        <w:rPr>
          <w:b/>
          <w:bCs/>
          <w:lang w:val="sv-SE"/>
        </w:rPr>
        <w:t>The European Commission implemented the EC Decision 2021/1730</w:t>
      </w:r>
      <w:r w:rsidRPr="004F3A50">
        <w:rPr>
          <w:b/>
          <w:bCs/>
          <w:lang w:val="sv-SE"/>
        </w:rPr>
        <w:t xml:space="preserve"> </w:t>
      </w:r>
      <w:r>
        <w:rPr>
          <w:b/>
          <w:bCs/>
          <w:lang w:val="sv-SE"/>
        </w:rPr>
        <w:t xml:space="preserve">with the same technical conditions and assumptions than ECC Decision(20)02. </w:t>
      </w:r>
    </w:p>
    <w:p w14:paraId="3967148D" w14:textId="655E4266" w:rsidR="00403C05" w:rsidRDefault="00403C05" w:rsidP="00403C05">
      <w:r w:rsidRPr="00E955EE">
        <w:rPr>
          <w:rFonts w:eastAsia="MS Mincho"/>
          <w:b/>
          <w:bCs/>
          <w:lang w:val="sv-SE" w:eastAsia="ja-JP"/>
        </w:rPr>
        <w:t>Observation</w:t>
      </w:r>
      <w:r w:rsidR="00D506EE">
        <w:rPr>
          <w:rFonts w:eastAsia="MS Mincho"/>
          <w:b/>
          <w:bCs/>
          <w:lang w:val="sv-SE" w:eastAsia="ja-JP"/>
        </w:rPr>
        <w:t>10</w:t>
      </w:r>
      <w:r w:rsidRPr="00E955EE">
        <w:rPr>
          <w:rFonts w:eastAsia="MS Mincho"/>
          <w:b/>
          <w:bCs/>
          <w:lang w:val="sv-SE" w:eastAsia="ja-JP"/>
        </w:rPr>
        <w:t>: CEPT requested ETSI to update the relevant European Harmonized Standards to consider the assumed MFCN BS enhanced selectivity.</w:t>
      </w:r>
      <w:r>
        <w:rPr>
          <w:rFonts w:eastAsia="MS Mincho"/>
          <w:b/>
          <w:bCs/>
          <w:lang w:val="sv-SE" w:eastAsia="ja-JP"/>
        </w:rPr>
        <w:t xml:space="preserve"> </w:t>
      </w:r>
    </w:p>
    <w:p w14:paraId="5E670DE1" w14:textId="0D37EE7B" w:rsidR="00403C05" w:rsidRDefault="00403C05" w:rsidP="00403C05">
      <w:pPr>
        <w:rPr>
          <w:rFonts w:eastAsia="MS Mincho"/>
          <w:b/>
          <w:bCs/>
          <w:lang w:val="sv-SE" w:eastAsia="ja-JP"/>
        </w:rPr>
      </w:pPr>
      <w:r w:rsidRPr="00E955EE">
        <w:rPr>
          <w:rFonts w:eastAsia="MS Mincho"/>
          <w:b/>
          <w:bCs/>
          <w:lang w:val="sv-SE" w:eastAsia="ja-JP"/>
        </w:rPr>
        <w:t>Observation</w:t>
      </w:r>
      <w:r>
        <w:rPr>
          <w:rFonts w:eastAsia="MS Mincho"/>
          <w:b/>
          <w:bCs/>
          <w:lang w:val="sv-SE" w:eastAsia="ja-JP"/>
        </w:rPr>
        <w:t>1</w:t>
      </w:r>
      <w:r w:rsidR="00D506EE">
        <w:rPr>
          <w:rFonts w:eastAsia="MS Mincho"/>
          <w:b/>
          <w:bCs/>
          <w:lang w:val="sv-SE" w:eastAsia="ja-JP"/>
        </w:rPr>
        <w:t>1</w:t>
      </w:r>
      <w:r w:rsidRPr="00E955EE">
        <w:rPr>
          <w:rFonts w:eastAsia="MS Mincho"/>
          <w:b/>
          <w:bCs/>
          <w:lang w:val="sv-SE" w:eastAsia="ja-JP"/>
        </w:rPr>
        <w:t xml:space="preserve">: </w:t>
      </w:r>
      <w:r>
        <w:rPr>
          <w:rFonts w:eastAsia="MS Mincho"/>
          <w:b/>
          <w:bCs/>
          <w:lang w:val="sv-SE" w:eastAsia="ja-JP"/>
        </w:rPr>
        <w:t>ETSI decided to convert this enhanced selectivity in a blocking requirement and add it in a separate Technical Specification</w:t>
      </w:r>
      <w:r w:rsidR="00E61543">
        <w:rPr>
          <w:rFonts w:eastAsia="MS Mincho"/>
          <w:b/>
          <w:bCs/>
          <w:lang w:val="sv-SE" w:eastAsia="ja-JP"/>
        </w:rPr>
        <w:t>,</w:t>
      </w:r>
      <w:r>
        <w:rPr>
          <w:rFonts w:eastAsia="MS Mincho"/>
          <w:b/>
          <w:bCs/>
          <w:lang w:val="sv-SE" w:eastAsia="ja-JP"/>
        </w:rPr>
        <w:t xml:space="preserve"> warning about potential risk of interference.</w:t>
      </w:r>
    </w:p>
    <w:p w14:paraId="681E7D4C" w14:textId="5025848D" w:rsidR="00403C05" w:rsidRDefault="00403C05" w:rsidP="00403C05">
      <w:pPr>
        <w:rPr>
          <w:rFonts w:eastAsia="MS Mincho"/>
          <w:b/>
          <w:bCs/>
          <w:lang w:val="sv-SE" w:eastAsia="ja-JP"/>
        </w:rPr>
      </w:pPr>
      <w:r w:rsidRPr="003C36FB">
        <w:rPr>
          <w:rFonts w:eastAsia="MS Mincho"/>
          <w:b/>
          <w:bCs/>
          <w:lang w:val="sv-SE" w:eastAsia="ja-JP"/>
        </w:rPr>
        <w:t>Observation1</w:t>
      </w:r>
      <w:r w:rsidR="00D506EE">
        <w:rPr>
          <w:rFonts w:eastAsia="MS Mincho"/>
          <w:b/>
          <w:bCs/>
          <w:lang w:val="sv-SE" w:eastAsia="ja-JP"/>
        </w:rPr>
        <w:t>2</w:t>
      </w:r>
      <w:r w:rsidRPr="003C36FB">
        <w:rPr>
          <w:rFonts w:eastAsia="MS Mincho"/>
          <w:b/>
          <w:bCs/>
          <w:lang w:val="sv-SE" w:eastAsia="ja-JP"/>
        </w:rPr>
        <w:t xml:space="preserve">: The band n101 was specified </w:t>
      </w:r>
      <w:r>
        <w:rPr>
          <w:rFonts w:eastAsia="MS Mincho"/>
          <w:b/>
          <w:bCs/>
          <w:lang w:val="sv-SE" w:eastAsia="ja-JP"/>
        </w:rPr>
        <w:t>following</w:t>
      </w:r>
      <w:r w:rsidRPr="003C36FB">
        <w:rPr>
          <w:rFonts w:eastAsia="MS Mincho"/>
          <w:b/>
          <w:bCs/>
          <w:lang w:val="sv-SE" w:eastAsia="ja-JP"/>
        </w:rPr>
        <w:t xml:space="preserve"> ECC Decision(20)02</w:t>
      </w:r>
      <w:r>
        <w:rPr>
          <w:rFonts w:eastAsia="MS Mincho"/>
          <w:b/>
          <w:bCs/>
          <w:lang w:val="sv-SE" w:eastAsia="ja-JP"/>
        </w:rPr>
        <w:t xml:space="preserve"> and assuming uncoordinated deployment</w:t>
      </w:r>
      <w:r w:rsidRPr="003C36FB">
        <w:rPr>
          <w:rFonts w:eastAsia="MS Mincho"/>
          <w:b/>
          <w:bCs/>
          <w:lang w:val="sv-SE" w:eastAsia="ja-JP"/>
        </w:rPr>
        <w:t>.</w:t>
      </w:r>
    </w:p>
    <w:p w14:paraId="5B3C0408" w14:textId="1F01F9EF" w:rsidR="00403C05" w:rsidRDefault="00403C05" w:rsidP="00403C05">
      <w:pPr>
        <w:rPr>
          <w:rFonts w:eastAsia="MS Mincho"/>
          <w:b/>
          <w:bCs/>
          <w:lang w:val="sv-SE" w:eastAsia="ja-JP"/>
        </w:rPr>
      </w:pPr>
      <w:r w:rsidRPr="003C36FB">
        <w:rPr>
          <w:rFonts w:eastAsia="MS Mincho"/>
          <w:b/>
          <w:bCs/>
          <w:lang w:val="sv-SE" w:eastAsia="ja-JP"/>
        </w:rPr>
        <w:t>Observation1</w:t>
      </w:r>
      <w:r w:rsidR="00D506EE">
        <w:rPr>
          <w:rFonts w:eastAsia="MS Mincho"/>
          <w:b/>
          <w:bCs/>
          <w:lang w:val="sv-SE" w:eastAsia="ja-JP"/>
        </w:rPr>
        <w:t>3</w:t>
      </w:r>
      <w:r w:rsidRPr="003C36FB">
        <w:rPr>
          <w:rFonts w:eastAsia="MS Mincho"/>
          <w:b/>
          <w:bCs/>
          <w:lang w:val="sv-SE" w:eastAsia="ja-JP"/>
        </w:rPr>
        <w:t xml:space="preserve">: </w:t>
      </w:r>
      <w:r>
        <w:rPr>
          <w:rFonts w:eastAsia="MS Mincho"/>
          <w:b/>
          <w:bCs/>
          <w:lang w:val="sv-SE" w:eastAsia="ja-JP"/>
        </w:rPr>
        <w:t>FRMCS coordinated deployment would help avoiding interference with already deployed MFCN BS.</w:t>
      </w:r>
    </w:p>
    <w:p w14:paraId="28737DC0" w14:textId="451080DE" w:rsidR="00403C05" w:rsidRDefault="00403C05" w:rsidP="00403C05">
      <w:pPr>
        <w:rPr>
          <w:rFonts w:eastAsia="MS Mincho"/>
          <w:b/>
          <w:bCs/>
          <w:lang w:val="sv-SE" w:eastAsia="ja-JP"/>
        </w:rPr>
      </w:pPr>
      <w:r>
        <w:rPr>
          <w:rFonts w:eastAsia="MS Mincho"/>
          <w:b/>
          <w:bCs/>
          <w:lang w:val="sv-SE" w:eastAsia="ja-JP"/>
        </w:rPr>
        <w:t>Observation1</w:t>
      </w:r>
      <w:r w:rsidR="00D506EE">
        <w:rPr>
          <w:rFonts w:eastAsia="MS Mincho"/>
          <w:b/>
          <w:bCs/>
          <w:lang w:val="sv-SE" w:eastAsia="ja-JP"/>
        </w:rPr>
        <w:t>4</w:t>
      </w:r>
      <w:r>
        <w:rPr>
          <w:rFonts w:eastAsia="MS Mincho"/>
          <w:b/>
          <w:bCs/>
          <w:lang w:val="sv-SE" w:eastAsia="ja-JP"/>
        </w:rPr>
        <w:t>: Mitigation techniques (e.g. adjusting antenna directivity, azimuth, tilt, ...)</w:t>
      </w:r>
      <w:r w:rsidRPr="00D21B61">
        <w:rPr>
          <w:rFonts w:eastAsia="MS Mincho"/>
          <w:b/>
          <w:bCs/>
          <w:lang w:val="sv-SE" w:eastAsia="ja-JP"/>
        </w:rPr>
        <w:t xml:space="preserve"> </w:t>
      </w:r>
      <w:r>
        <w:rPr>
          <w:rFonts w:eastAsia="MS Mincho"/>
          <w:b/>
          <w:bCs/>
          <w:lang w:val="sv-SE" w:eastAsia="ja-JP"/>
        </w:rPr>
        <w:t>would help avoiding interference with already deployed MFCN BS.</w:t>
      </w:r>
    </w:p>
    <w:p w14:paraId="41F73F55" w14:textId="3B1C7AD8" w:rsidR="00403C05" w:rsidRPr="00CD37B4" w:rsidRDefault="00403C05" w:rsidP="00403C05">
      <w:pPr>
        <w:rPr>
          <w:b/>
          <w:bCs/>
          <w:lang w:val="sv-SE" w:eastAsia="ja-JP"/>
        </w:rPr>
      </w:pPr>
      <w:r w:rsidRPr="00CD37B4">
        <w:rPr>
          <w:b/>
          <w:bCs/>
          <w:lang w:val="sv-SE" w:eastAsia="ja-JP"/>
        </w:rPr>
        <w:t>Observation1</w:t>
      </w:r>
      <w:r w:rsidR="00D506EE">
        <w:rPr>
          <w:b/>
          <w:bCs/>
          <w:lang w:val="sv-SE" w:eastAsia="ja-JP"/>
        </w:rPr>
        <w:t>5</w:t>
      </w:r>
      <w:r w:rsidRPr="00CD37B4">
        <w:rPr>
          <w:b/>
          <w:bCs/>
          <w:lang w:val="sv-SE" w:eastAsia="ja-JP"/>
        </w:rPr>
        <w:t xml:space="preserve">: RAN4 might wish to specify more stringent baseline limit in 1920-1980MHz to improve coexistence. Nevertheless, this would not have any impact in real network as long as the ECC Decision(20)02 is not updated accordingly as well. </w:t>
      </w:r>
    </w:p>
    <w:p w14:paraId="373A16E9" w14:textId="23022FE1" w:rsidR="00403C05" w:rsidRDefault="00403C05" w:rsidP="00403C05">
      <w:pPr>
        <w:rPr>
          <w:b/>
          <w:bCs/>
          <w:lang w:val="sv-SE" w:eastAsia="ja-JP"/>
        </w:rPr>
      </w:pPr>
      <w:r w:rsidRPr="00AD264E">
        <w:rPr>
          <w:b/>
          <w:bCs/>
          <w:lang w:val="sv-SE" w:eastAsia="ja-JP"/>
        </w:rPr>
        <w:t>Observation1</w:t>
      </w:r>
      <w:r w:rsidR="00D506EE">
        <w:rPr>
          <w:b/>
          <w:bCs/>
          <w:lang w:val="sv-SE" w:eastAsia="ja-JP"/>
        </w:rPr>
        <w:t>6</w:t>
      </w:r>
      <w:r w:rsidRPr="00AD264E">
        <w:rPr>
          <w:b/>
          <w:bCs/>
          <w:lang w:val="sv-SE" w:eastAsia="ja-JP"/>
        </w:rPr>
        <w:t xml:space="preserve">: FRMCS band n101 definition follows the existing European Regulation which assumed a MFCN BS enhanced selectivity to address the interferences issue. </w:t>
      </w:r>
    </w:p>
    <w:p w14:paraId="04D8047E" w14:textId="77777777" w:rsidR="002343A1" w:rsidRDefault="002343A1" w:rsidP="00403C05">
      <w:pPr>
        <w:rPr>
          <w:lang w:val="sv-SE" w:eastAsia="ja-JP"/>
        </w:rPr>
      </w:pPr>
    </w:p>
    <w:p w14:paraId="3A204BA7" w14:textId="319A3B0C" w:rsidR="00403C05" w:rsidRDefault="00403C05" w:rsidP="00403C05">
      <w:pPr>
        <w:rPr>
          <w:lang w:val="sv-SE" w:eastAsia="ja-JP"/>
        </w:rPr>
      </w:pPr>
      <w:r>
        <w:rPr>
          <w:lang w:val="sv-SE" w:eastAsia="ja-JP"/>
        </w:rPr>
        <w:t>And i</w:t>
      </w:r>
      <w:r w:rsidRPr="00132079">
        <w:rPr>
          <w:lang w:val="sv-SE" w:eastAsia="ja-JP"/>
        </w:rPr>
        <w:t>n the following table, we recap the different alternatives mentioned in this contribution.</w:t>
      </w:r>
    </w:p>
    <w:tbl>
      <w:tblPr>
        <w:tblStyle w:val="TableGrid"/>
        <w:tblW w:w="0" w:type="auto"/>
        <w:tblLook w:val="04A0" w:firstRow="1" w:lastRow="0" w:firstColumn="1" w:lastColumn="0" w:noHBand="0" w:noVBand="1"/>
      </w:tblPr>
      <w:tblGrid>
        <w:gridCol w:w="4248"/>
        <w:gridCol w:w="5383"/>
      </w:tblGrid>
      <w:tr w:rsidR="00403C05" w14:paraId="39A48FAB" w14:textId="77777777" w:rsidTr="00240BE1">
        <w:trPr>
          <w:trHeight w:val="336"/>
        </w:trPr>
        <w:tc>
          <w:tcPr>
            <w:tcW w:w="4248" w:type="dxa"/>
            <w:shd w:val="clear" w:color="auto" w:fill="D9D9D9" w:themeFill="background1" w:themeFillShade="D9"/>
          </w:tcPr>
          <w:p w14:paraId="040305A9" w14:textId="77777777" w:rsidR="00403C05" w:rsidRDefault="00403C05" w:rsidP="00240BE1">
            <w:pPr>
              <w:pStyle w:val="TAH"/>
              <w:rPr>
                <w:lang w:eastAsia="ja-JP"/>
              </w:rPr>
            </w:pPr>
            <w:r>
              <w:rPr>
                <w:lang w:val="en-US" w:eastAsia="ja-JP"/>
              </w:rPr>
              <w:lastRenderedPageBreak/>
              <w:t>Considered o</w:t>
            </w:r>
            <w:r>
              <w:rPr>
                <w:lang w:eastAsia="ja-JP"/>
              </w:rPr>
              <w:t>ptions</w:t>
            </w:r>
          </w:p>
        </w:tc>
        <w:tc>
          <w:tcPr>
            <w:tcW w:w="5383" w:type="dxa"/>
            <w:shd w:val="clear" w:color="auto" w:fill="D9D9D9" w:themeFill="background1" w:themeFillShade="D9"/>
          </w:tcPr>
          <w:p w14:paraId="02FCDC85" w14:textId="77777777" w:rsidR="00403C05" w:rsidRDefault="00403C05" w:rsidP="00240BE1">
            <w:pPr>
              <w:pStyle w:val="TAH"/>
              <w:rPr>
                <w:lang w:eastAsia="ja-JP"/>
              </w:rPr>
            </w:pPr>
            <w:r>
              <w:rPr>
                <w:lang w:eastAsia="ja-JP"/>
              </w:rPr>
              <w:t>Comment</w:t>
            </w:r>
          </w:p>
        </w:tc>
      </w:tr>
      <w:tr w:rsidR="00403C05" w14:paraId="3D61E602" w14:textId="77777777" w:rsidTr="00240BE1">
        <w:trPr>
          <w:trHeight w:val="270"/>
        </w:trPr>
        <w:tc>
          <w:tcPr>
            <w:tcW w:w="4248" w:type="dxa"/>
          </w:tcPr>
          <w:p w14:paraId="7928532F" w14:textId="77777777" w:rsidR="00403C05" w:rsidRPr="002379A7" w:rsidRDefault="00403C05" w:rsidP="00240BE1">
            <w:pPr>
              <w:pStyle w:val="TAL"/>
              <w:rPr>
                <w:rFonts w:ascii="Calibri" w:eastAsia="SimSun" w:hAnsi="Calibri"/>
                <w:sz w:val="22"/>
                <w:lang w:val="sv-SE" w:eastAsia="ja-JP"/>
              </w:rPr>
            </w:pPr>
            <w:r w:rsidRPr="002379A7">
              <w:rPr>
                <w:rFonts w:ascii="Calibri" w:eastAsia="SimSun" w:hAnsi="Calibri"/>
                <w:sz w:val="22"/>
                <w:lang w:val="sv-SE" w:eastAsia="ja-JP"/>
              </w:rPr>
              <w:t>Coordinated deployment</w:t>
            </w:r>
          </w:p>
        </w:tc>
        <w:tc>
          <w:tcPr>
            <w:tcW w:w="5383" w:type="dxa"/>
          </w:tcPr>
          <w:p w14:paraId="1B0C2E88" w14:textId="77777777" w:rsidR="00403C05" w:rsidRPr="002379A7" w:rsidRDefault="00403C05" w:rsidP="00240BE1">
            <w:pPr>
              <w:pStyle w:val="TAL"/>
              <w:rPr>
                <w:rFonts w:ascii="Calibri" w:eastAsia="SimSun" w:hAnsi="Calibri"/>
                <w:sz w:val="22"/>
                <w:lang w:val="sv-SE" w:eastAsia="ja-JP"/>
              </w:rPr>
            </w:pPr>
            <w:r w:rsidRPr="002379A7">
              <w:rPr>
                <w:rFonts w:ascii="Calibri" w:eastAsia="SimSun" w:hAnsi="Calibri"/>
                <w:sz w:val="22"/>
                <w:lang w:val="sv-SE" w:eastAsia="ja-JP"/>
              </w:rPr>
              <w:t>This might have some impacts on FRMCS deployment.</w:t>
            </w:r>
          </w:p>
        </w:tc>
      </w:tr>
      <w:tr w:rsidR="00403C05" w14:paraId="69C62B7D" w14:textId="77777777" w:rsidTr="00240BE1">
        <w:tc>
          <w:tcPr>
            <w:tcW w:w="4248" w:type="dxa"/>
          </w:tcPr>
          <w:p w14:paraId="6FC1A2F4" w14:textId="77777777" w:rsidR="00403C05" w:rsidRPr="002379A7" w:rsidRDefault="00403C05" w:rsidP="00240BE1">
            <w:pPr>
              <w:pStyle w:val="TAL"/>
              <w:rPr>
                <w:rFonts w:ascii="Calibri" w:eastAsia="SimSun" w:hAnsi="Calibri"/>
                <w:sz w:val="22"/>
                <w:lang w:val="sv-SE" w:eastAsia="ja-JP"/>
              </w:rPr>
            </w:pPr>
            <w:r w:rsidRPr="002379A7">
              <w:rPr>
                <w:rFonts w:ascii="Calibri" w:eastAsia="SimSun" w:hAnsi="Calibri"/>
                <w:sz w:val="22"/>
                <w:lang w:val="sv-SE" w:eastAsia="ja-JP"/>
              </w:rPr>
              <w:t>Mitigation measures (e.g. adjusting antenna directivity, azimuth, tilt)</w:t>
            </w:r>
          </w:p>
        </w:tc>
        <w:tc>
          <w:tcPr>
            <w:tcW w:w="5383" w:type="dxa"/>
          </w:tcPr>
          <w:p w14:paraId="72956EBD" w14:textId="77777777" w:rsidR="00403C05" w:rsidRPr="002379A7" w:rsidRDefault="00403C05" w:rsidP="00240BE1">
            <w:pPr>
              <w:pStyle w:val="TAL"/>
              <w:rPr>
                <w:rFonts w:ascii="Calibri" w:eastAsia="SimSun" w:hAnsi="Calibri"/>
                <w:sz w:val="22"/>
                <w:lang w:val="sv-SE" w:eastAsia="ja-JP"/>
              </w:rPr>
            </w:pPr>
            <w:r w:rsidRPr="002379A7">
              <w:rPr>
                <w:rFonts w:ascii="Calibri" w:eastAsia="SimSun" w:hAnsi="Calibri"/>
                <w:sz w:val="22"/>
                <w:lang w:val="sv-SE" w:eastAsia="ja-JP"/>
              </w:rPr>
              <w:t>It won’t be possible most likely to solve all situations.</w:t>
            </w:r>
          </w:p>
        </w:tc>
      </w:tr>
      <w:tr w:rsidR="006C27F7" w14:paraId="1EF2447C" w14:textId="77777777" w:rsidTr="00240BE1">
        <w:tc>
          <w:tcPr>
            <w:tcW w:w="4248" w:type="dxa"/>
          </w:tcPr>
          <w:p w14:paraId="50B649C2" w14:textId="7203406E" w:rsidR="006C27F7" w:rsidRPr="002379A7" w:rsidRDefault="006C27F7" w:rsidP="006C27F7">
            <w:pPr>
              <w:pStyle w:val="TAL"/>
              <w:rPr>
                <w:rFonts w:ascii="Calibri" w:hAnsi="Calibri"/>
                <w:sz w:val="22"/>
                <w:lang w:val="sv-SE" w:eastAsia="ja-JP"/>
              </w:rPr>
            </w:pPr>
            <w:r>
              <w:rPr>
                <w:rFonts w:ascii="Calibri" w:hAnsi="Calibri"/>
                <w:sz w:val="22"/>
                <w:lang w:val="sv-SE" w:eastAsia="ja-JP"/>
              </w:rPr>
              <w:t xml:space="preserve">Specify more stringent in-block requirement </w:t>
            </w:r>
            <w:r w:rsidR="00AB6745">
              <w:rPr>
                <w:rFonts w:ascii="Calibri" w:hAnsi="Calibri"/>
                <w:sz w:val="22"/>
                <w:lang w:val="sv-SE" w:eastAsia="ja-JP"/>
              </w:rPr>
              <w:t xml:space="preserve">(BS maximum output power) </w:t>
            </w:r>
            <w:r>
              <w:rPr>
                <w:rFonts w:ascii="Calibri" w:hAnsi="Calibri"/>
                <w:sz w:val="22"/>
                <w:lang w:val="sv-SE" w:eastAsia="ja-JP"/>
              </w:rPr>
              <w:t>for uncoordinated deployment</w:t>
            </w:r>
          </w:p>
        </w:tc>
        <w:tc>
          <w:tcPr>
            <w:tcW w:w="5383" w:type="dxa"/>
          </w:tcPr>
          <w:p w14:paraId="4B83D009" w14:textId="77777777" w:rsidR="008A035B" w:rsidRDefault="006C27F7" w:rsidP="006C27F7">
            <w:pPr>
              <w:pStyle w:val="TAL"/>
              <w:rPr>
                <w:rFonts w:ascii="Calibri" w:hAnsi="Calibri"/>
                <w:sz w:val="22"/>
                <w:lang w:val="sv-SE" w:eastAsia="ja-JP"/>
              </w:rPr>
            </w:pPr>
            <w:r>
              <w:rPr>
                <w:rFonts w:ascii="Calibri" w:hAnsi="Calibri"/>
                <w:sz w:val="22"/>
                <w:lang w:val="sv-SE" w:eastAsia="ja-JP"/>
              </w:rPr>
              <w:t>This would increase FRMCS deployment cost and complexity.</w:t>
            </w:r>
            <w:r w:rsidR="00655520">
              <w:rPr>
                <w:rFonts w:ascii="Calibri" w:hAnsi="Calibri"/>
                <w:sz w:val="22"/>
                <w:lang w:val="sv-SE" w:eastAsia="ja-JP"/>
              </w:rPr>
              <w:t xml:space="preserve"> </w:t>
            </w:r>
          </w:p>
          <w:p w14:paraId="7C388279" w14:textId="6B6CE46B" w:rsidR="006C27F7" w:rsidRPr="002379A7" w:rsidRDefault="00655520" w:rsidP="006C27F7">
            <w:pPr>
              <w:pStyle w:val="TAL"/>
              <w:rPr>
                <w:rFonts w:ascii="Calibri" w:hAnsi="Calibri"/>
                <w:sz w:val="22"/>
                <w:lang w:val="sv-SE" w:eastAsia="ja-JP"/>
              </w:rPr>
            </w:pPr>
            <w:r w:rsidRPr="002379A7">
              <w:rPr>
                <w:rFonts w:ascii="Calibri" w:eastAsia="SimSun" w:hAnsi="Calibri"/>
                <w:sz w:val="22"/>
                <w:lang w:val="sv-SE" w:eastAsia="ja-JP"/>
              </w:rPr>
              <w:t xml:space="preserve">ECC Decision(20)02 </w:t>
            </w:r>
            <w:r w:rsidR="009010E8">
              <w:rPr>
                <w:rFonts w:ascii="Calibri" w:eastAsia="SimSun" w:hAnsi="Calibri"/>
                <w:sz w:val="22"/>
                <w:lang w:val="sv-SE" w:eastAsia="ja-JP"/>
              </w:rPr>
              <w:t xml:space="preserve">and EC Decision 2021/1730 </w:t>
            </w:r>
            <w:r w:rsidRPr="002379A7">
              <w:rPr>
                <w:rFonts w:ascii="Calibri" w:eastAsia="SimSun" w:hAnsi="Calibri"/>
                <w:sz w:val="22"/>
                <w:lang w:val="sv-SE" w:eastAsia="ja-JP"/>
              </w:rPr>
              <w:t>would still need to be updated accordingly.</w:t>
            </w:r>
          </w:p>
        </w:tc>
      </w:tr>
      <w:tr w:rsidR="006C27F7" w14:paraId="1B8BEA7A" w14:textId="77777777" w:rsidTr="00240BE1">
        <w:tc>
          <w:tcPr>
            <w:tcW w:w="4248" w:type="dxa"/>
          </w:tcPr>
          <w:p w14:paraId="727F4ABA" w14:textId="77777777" w:rsidR="006C27F7" w:rsidRPr="002379A7" w:rsidRDefault="006C27F7" w:rsidP="006C27F7">
            <w:pPr>
              <w:pStyle w:val="TAL"/>
              <w:rPr>
                <w:rFonts w:ascii="Calibri" w:eastAsia="SimSun" w:hAnsi="Calibri"/>
                <w:sz w:val="22"/>
                <w:lang w:val="sv-SE" w:eastAsia="ja-JP"/>
              </w:rPr>
            </w:pPr>
            <w:r w:rsidRPr="002379A7">
              <w:rPr>
                <w:rFonts w:ascii="Calibri" w:eastAsia="SimSun" w:hAnsi="Calibri"/>
                <w:sz w:val="22"/>
                <w:lang w:val="sv-SE" w:eastAsia="ja-JP"/>
              </w:rPr>
              <w:t>Specify more stringent EIRP baseline to protect the 1920-1980 MHz frequency range</w:t>
            </w:r>
          </w:p>
        </w:tc>
        <w:tc>
          <w:tcPr>
            <w:tcW w:w="5383" w:type="dxa"/>
          </w:tcPr>
          <w:p w14:paraId="1862A620" w14:textId="3F08AC3F" w:rsidR="006C27F7" w:rsidRPr="002379A7" w:rsidRDefault="006C27F7" w:rsidP="006C27F7">
            <w:pPr>
              <w:pStyle w:val="TAL"/>
              <w:rPr>
                <w:rFonts w:ascii="Calibri" w:eastAsia="SimSun" w:hAnsi="Calibri"/>
                <w:sz w:val="22"/>
                <w:lang w:val="sv-SE" w:eastAsia="ja-JP"/>
              </w:rPr>
            </w:pPr>
            <w:r w:rsidRPr="002379A7">
              <w:rPr>
                <w:rFonts w:ascii="Calibri" w:eastAsia="SimSun" w:hAnsi="Calibri"/>
                <w:sz w:val="22"/>
                <w:lang w:val="sv-SE" w:eastAsia="ja-JP"/>
              </w:rPr>
              <w:t xml:space="preserve">ECC Decision(20)02 </w:t>
            </w:r>
            <w:r w:rsidR="009010E8">
              <w:rPr>
                <w:rFonts w:ascii="Calibri" w:eastAsia="SimSun" w:hAnsi="Calibri"/>
                <w:sz w:val="22"/>
                <w:lang w:val="sv-SE" w:eastAsia="ja-JP"/>
              </w:rPr>
              <w:t xml:space="preserve">and EC Decision 2021/1730 </w:t>
            </w:r>
            <w:r w:rsidRPr="002379A7">
              <w:rPr>
                <w:rFonts w:ascii="Calibri" w:eastAsia="SimSun" w:hAnsi="Calibri"/>
                <w:sz w:val="22"/>
                <w:lang w:val="sv-SE" w:eastAsia="ja-JP"/>
              </w:rPr>
              <w:t>would still need to be updated accordingly.</w:t>
            </w:r>
          </w:p>
        </w:tc>
      </w:tr>
    </w:tbl>
    <w:p w14:paraId="7EE0AAB3" w14:textId="77777777" w:rsidR="0093191C" w:rsidRDefault="0093191C" w:rsidP="005C07DD">
      <w:pPr>
        <w:spacing w:after="120"/>
      </w:pPr>
    </w:p>
    <w:p w14:paraId="6A3A2F22" w14:textId="77777777" w:rsidR="005C07DD" w:rsidRDefault="005C07DD" w:rsidP="00CB0994">
      <w:pPr>
        <w:pStyle w:val="Heading1"/>
        <w:numPr>
          <w:ilvl w:val="0"/>
          <w:numId w:val="1"/>
        </w:numPr>
        <w:ind w:left="400" w:hanging="400"/>
      </w:pPr>
      <w:r>
        <w:rPr>
          <w:rFonts w:hint="eastAsia"/>
          <w:sz w:val="32"/>
          <w:lang w:val="en-GB"/>
        </w:rPr>
        <w:t>Reference</w:t>
      </w:r>
    </w:p>
    <w:p w14:paraId="294E7EA5" w14:textId="3A829A42" w:rsidR="003A3784" w:rsidRDefault="003A3784" w:rsidP="003A3784">
      <w:pPr>
        <w:numPr>
          <w:ilvl w:val="0"/>
          <w:numId w:val="22"/>
        </w:numPr>
        <w:spacing w:after="160" w:line="259" w:lineRule="auto"/>
      </w:pPr>
      <w:bookmarkStart w:id="0" w:name="_Ref71297840"/>
      <w:bookmarkStart w:id="1" w:name="_Ref109741660"/>
      <w:bookmarkStart w:id="2" w:name="_Ref114939775"/>
      <w:bookmarkStart w:id="3" w:name="_Ref126681248"/>
      <w:bookmarkStart w:id="4" w:name="_Ref118219247"/>
      <w:r w:rsidRPr="002638B0">
        <w:t>RP-</w:t>
      </w:r>
      <w:bookmarkEnd w:id="0"/>
      <w:bookmarkEnd w:id="1"/>
      <w:bookmarkEnd w:id="2"/>
      <w:r w:rsidRPr="002638B0">
        <w:t>2</w:t>
      </w:r>
      <w:r>
        <w:t>3</w:t>
      </w:r>
      <w:r w:rsidR="007036CA">
        <w:t>4008</w:t>
      </w:r>
      <w:r w:rsidRPr="002638B0">
        <w:t xml:space="preserve">, </w:t>
      </w:r>
      <w:r w:rsidR="007036CA" w:rsidRPr="007036CA">
        <w:t>Way forward on the co-existence for existing mobile networks caused by band n101, RAN4 chair</w:t>
      </w:r>
    </w:p>
    <w:p w14:paraId="3B475990" w14:textId="6E129ADA" w:rsidR="002064FF" w:rsidRDefault="0082357E" w:rsidP="002064FF">
      <w:pPr>
        <w:numPr>
          <w:ilvl w:val="0"/>
          <w:numId w:val="22"/>
        </w:numPr>
        <w:spacing w:after="160" w:line="259" w:lineRule="auto"/>
      </w:pPr>
      <w:bookmarkStart w:id="5" w:name="_Ref157097479"/>
      <w:r>
        <w:t xml:space="preserve">ECC Report 313, </w:t>
      </w:r>
      <w:r w:rsidR="002064FF" w:rsidRPr="002064FF">
        <w:t>Technical study for co-existence between RMR in the 900 MHz range and other applications in adjacent bands</w:t>
      </w:r>
      <w:bookmarkEnd w:id="5"/>
    </w:p>
    <w:p w14:paraId="55E378A6" w14:textId="5905300A" w:rsidR="00FD69A7" w:rsidRDefault="009A27F3" w:rsidP="00DC11BD">
      <w:pPr>
        <w:numPr>
          <w:ilvl w:val="0"/>
          <w:numId w:val="22"/>
        </w:numPr>
        <w:spacing w:after="160" w:line="259" w:lineRule="auto"/>
      </w:pPr>
      <w:bookmarkStart w:id="6" w:name="_Ref157097489"/>
      <w:r>
        <w:t xml:space="preserve">ECC Report </w:t>
      </w:r>
      <w:r w:rsidR="003C2470">
        <w:t xml:space="preserve">314, </w:t>
      </w:r>
      <w:r w:rsidR="00FD69A7">
        <w:t xml:space="preserve"> </w:t>
      </w:r>
      <w:r w:rsidR="00FD69A7" w:rsidRPr="002064FF">
        <w:t>Co-existence between Future Railway Mobile Communication System (FRMCS) in the frequency range 1900-1920 MHz and other applications in adjacent bands</w:t>
      </w:r>
      <w:r w:rsidR="00D24636" w:rsidRPr="002064FF">
        <w:t>, 21 May 2020</w:t>
      </w:r>
      <w:bookmarkEnd w:id="6"/>
    </w:p>
    <w:p w14:paraId="347CD477" w14:textId="08751DCC" w:rsidR="00633393" w:rsidRDefault="003C2470" w:rsidP="00633393">
      <w:pPr>
        <w:numPr>
          <w:ilvl w:val="0"/>
          <w:numId w:val="22"/>
        </w:numPr>
        <w:spacing w:after="160" w:line="259" w:lineRule="auto"/>
      </w:pPr>
      <w:bookmarkStart w:id="7" w:name="_Ref157097497"/>
      <w:r>
        <w:t>ECC Report 318,</w:t>
      </w:r>
      <w:bookmarkEnd w:id="7"/>
      <w:r>
        <w:t xml:space="preserve"> </w:t>
      </w:r>
      <w:r w:rsidR="00633393">
        <w:t xml:space="preserve"> </w:t>
      </w:r>
      <w:r w:rsidR="00633393" w:rsidRPr="00633393">
        <w:t>Compatibility between RMR and MFCN in the 900 MHz range, the 1900-1920 MHz band and the 2290-2300 MHz band, 3 July 2020</w:t>
      </w:r>
    </w:p>
    <w:p w14:paraId="780F6C77" w14:textId="013D612E" w:rsidR="001F119E" w:rsidRDefault="003C2470" w:rsidP="001F119E">
      <w:pPr>
        <w:numPr>
          <w:ilvl w:val="0"/>
          <w:numId w:val="22"/>
        </w:numPr>
        <w:spacing w:after="160" w:line="259" w:lineRule="auto"/>
      </w:pPr>
      <w:bookmarkStart w:id="8" w:name="_Ref157097506"/>
      <w:r>
        <w:t>CEPT Report 74</w:t>
      </w:r>
      <w:r w:rsidR="001F119E">
        <w:t xml:space="preserve">, </w:t>
      </w:r>
      <w:r w:rsidR="001F119E" w:rsidRPr="002064FF">
        <w:t>Report from CEPT to the European Commission in response to the Mandate on spectrum for the future railway mobile communications system, Report A: Spectrum needs and feasibility (tasks 1 to 4)</w:t>
      </w:r>
      <w:bookmarkEnd w:id="8"/>
    </w:p>
    <w:p w14:paraId="3F136018" w14:textId="119366A4" w:rsidR="00160CCB" w:rsidRDefault="003C2470" w:rsidP="00160CCB">
      <w:pPr>
        <w:numPr>
          <w:ilvl w:val="0"/>
          <w:numId w:val="22"/>
        </w:numPr>
        <w:spacing w:after="160" w:line="259" w:lineRule="auto"/>
      </w:pPr>
      <w:bookmarkStart w:id="9" w:name="_Ref157097518"/>
      <w:r>
        <w:t>CEPT Report 76</w:t>
      </w:r>
      <w:r w:rsidR="000C7408">
        <w:t xml:space="preserve">, </w:t>
      </w:r>
      <w:r w:rsidR="00160CCB">
        <w:t xml:space="preserve"> </w:t>
      </w:r>
      <w:r w:rsidR="00160CCB" w:rsidRPr="002064FF">
        <w:t xml:space="preserve">Report from CEPT to the European Commission in response to the Mandate on spectrum for the future railway mobile communications system, Report B </w:t>
      </w:r>
      <w:r w:rsidR="00160CCB">
        <w:t xml:space="preserve"> </w:t>
      </w:r>
      <w:r w:rsidR="00160CCB" w:rsidRPr="002064FF">
        <w:t>EU-harmonised technical conditions for the future railway mobile radio communications system (Task 5)</w:t>
      </w:r>
      <w:bookmarkEnd w:id="9"/>
    </w:p>
    <w:p w14:paraId="18F96591" w14:textId="40CEBA46" w:rsidR="00CC0F14" w:rsidRDefault="003C2470" w:rsidP="00CC0F14">
      <w:pPr>
        <w:numPr>
          <w:ilvl w:val="0"/>
          <w:numId w:val="22"/>
        </w:numPr>
        <w:spacing w:after="160" w:line="259" w:lineRule="auto"/>
      </w:pPr>
      <w:bookmarkStart w:id="10" w:name="_Ref157097527"/>
      <w:r>
        <w:t xml:space="preserve">ECC Decision(20)02, </w:t>
      </w:r>
      <w:bookmarkEnd w:id="3"/>
      <w:bookmarkEnd w:id="4"/>
      <w:r w:rsidR="00CC0F14" w:rsidRPr="00CC0F14">
        <w:t>Harmonised use of the paired frequency bands 874.4-880.0 MHz and 919.4-925.0 MHz and of the unpaired frequency band 1900-1910 MHz for Railway Mobile Radio (RMR), 20 November 2020.</w:t>
      </w:r>
      <w:bookmarkEnd w:id="10"/>
    </w:p>
    <w:p w14:paraId="42A8DE14" w14:textId="609F8212" w:rsidR="009649D8" w:rsidRDefault="009649D8" w:rsidP="00CC0F14">
      <w:pPr>
        <w:numPr>
          <w:ilvl w:val="0"/>
          <w:numId w:val="22"/>
        </w:numPr>
        <w:spacing w:after="160" w:line="259" w:lineRule="auto"/>
      </w:pPr>
      <w:bookmarkStart w:id="11" w:name="_Ref158626269"/>
      <w:bookmarkStart w:id="12" w:name="_Ref157097535"/>
      <w:r>
        <w:t>EC Decision</w:t>
      </w:r>
      <w:r w:rsidR="002C3BD9">
        <w:t xml:space="preserve"> 2021/1730, </w:t>
      </w:r>
      <w:r w:rsidR="00E055EE">
        <w:t>of 28 September 2021 on the harmonised use of the paired frequency bands 874,4-880,0 MHz and 919,4-925,0 MHz and of the unpaired frequency band 1 900-1 910 MHz for Railway Mobile Radio</w:t>
      </w:r>
      <w:bookmarkEnd w:id="11"/>
    </w:p>
    <w:p w14:paraId="6DA4DAA2" w14:textId="0BEDF3A6" w:rsidR="007B52BE" w:rsidRDefault="007B52BE" w:rsidP="00CC0F14">
      <w:pPr>
        <w:numPr>
          <w:ilvl w:val="0"/>
          <w:numId w:val="22"/>
        </w:numPr>
        <w:spacing w:after="160" w:line="259" w:lineRule="auto"/>
      </w:pPr>
      <w:r>
        <w:t>TFES(20)</w:t>
      </w:r>
      <w:r w:rsidR="00AA6266">
        <w:t xml:space="preserve">066020, </w:t>
      </w:r>
      <w:r w:rsidR="00AA6266" w:rsidRPr="00AA6266">
        <w:t>Update of the MFCN BS Harmonised European Standards with respect to BS at 2 GHz</w:t>
      </w:r>
      <w:bookmarkEnd w:id="12"/>
    </w:p>
    <w:p w14:paraId="74B19D71" w14:textId="6EBDD91A" w:rsidR="00AD79B4" w:rsidRDefault="00AD79B4" w:rsidP="00CC0F14">
      <w:pPr>
        <w:numPr>
          <w:ilvl w:val="0"/>
          <w:numId w:val="22"/>
        </w:numPr>
        <w:spacing w:after="160" w:line="259" w:lineRule="auto"/>
      </w:pPr>
      <w:bookmarkStart w:id="13" w:name="_Ref157097547"/>
      <w:r>
        <w:t xml:space="preserve">TS 106 807, </w:t>
      </w:r>
      <w:r w:rsidR="00ED78CF" w:rsidRPr="00ED78CF">
        <w:t>Base Stations (BS) Additional Regulatory Requirements</w:t>
      </w:r>
      <w:bookmarkEnd w:id="13"/>
    </w:p>
    <w:p w14:paraId="130576D9" w14:textId="422CDBED" w:rsidR="0001352B" w:rsidRPr="00290D16" w:rsidRDefault="00AD2445" w:rsidP="002C0BBB">
      <w:pPr>
        <w:numPr>
          <w:ilvl w:val="0"/>
          <w:numId w:val="22"/>
        </w:numPr>
        <w:spacing w:after="160" w:line="259" w:lineRule="auto"/>
      </w:pPr>
      <w:bookmarkStart w:id="14" w:name="_Ref157097568"/>
      <w:r>
        <w:t xml:space="preserve">TR 38.852, </w:t>
      </w:r>
      <w:r w:rsidR="0001352B" w:rsidRPr="00290D16">
        <w:t xml:space="preserve">Introduction of </w:t>
      </w:r>
      <w:r w:rsidR="0001352B">
        <w:t>1</w:t>
      </w:r>
      <w:r w:rsidR="0001352B" w:rsidRPr="00290D16">
        <w:t xml:space="preserve">900MHz NR band for Europe </w:t>
      </w:r>
      <w:r w:rsidR="0001352B">
        <w:t>for</w:t>
      </w:r>
      <w:r w:rsidR="0001352B" w:rsidRPr="00290D16">
        <w:t xml:space="preserve"> Rail Mobile Radio (RMR)</w:t>
      </w:r>
      <w:bookmarkEnd w:id="14"/>
    </w:p>
    <w:p w14:paraId="5FB78B96" w14:textId="01E884BD" w:rsidR="0001352B" w:rsidRDefault="00BB1C18" w:rsidP="00CC0F14">
      <w:pPr>
        <w:numPr>
          <w:ilvl w:val="0"/>
          <w:numId w:val="22"/>
        </w:numPr>
        <w:spacing w:after="160" w:line="259" w:lineRule="auto"/>
      </w:pPr>
      <w:bookmarkStart w:id="15" w:name="_Ref158626324"/>
      <w:r>
        <w:t>R4</w:t>
      </w:r>
      <w:r w:rsidRPr="007C7160">
        <w:t>-2</w:t>
      </w:r>
      <w:r>
        <w:t>311003</w:t>
      </w:r>
      <w:r w:rsidRPr="00055A80">
        <w:rPr>
          <w:lang w:val="en-GB"/>
        </w:rPr>
        <w:t xml:space="preserve">, </w:t>
      </w:r>
      <w:r>
        <w:t>LS to 3GPP RAN4 on NR bandwidth smaller than 5 MHz, CEPT WG FM</w:t>
      </w:r>
      <w:bookmarkEnd w:id="15"/>
    </w:p>
    <w:p w14:paraId="3FDE2D85" w14:textId="10B73A9F" w:rsidR="0008787E" w:rsidRPr="007036CA" w:rsidRDefault="00A4031A" w:rsidP="007A1088">
      <w:pPr>
        <w:numPr>
          <w:ilvl w:val="0"/>
          <w:numId w:val="22"/>
        </w:numPr>
        <w:autoSpaceDE w:val="0"/>
        <w:autoSpaceDN w:val="0"/>
        <w:adjustRightInd w:val="0"/>
        <w:spacing w:after="0" w:line="259" w:lineRule="auto"/>
      </w:pPr>
      <w:r>
        <w:t xml:space="preserve">CEPT Report 39, </w:t>
      </w:r>
      <w:r w:rsidR="0008787E" w:rsidRPr="0008787E">
        <w:t>Report from CEPT to the European Commission</w:t>
      </w:r>
      <w:r w:rsidR="0008787E">
        <w:t xml:space="preserve"> </w:t>
      </w:r>
      <w:r w:rsidR="0008787E" w:rsidRPr="0008787E">
        <w:t>in response to the Mandate</w:t>
      </w:r>
      <w:r w:rsidR="0008787E">
        <w:t xml:space="preserve"> </w:t>
      </w:r>
      <w:r w:rsidR="0008787E" w:rsidRPr="0008787E">
        <w:t>to develop least restrictive technical conditions for 2 GHz bands</w:t>
      </w:r>
    </w:p>
    <w:sectPr w:rsidR="0008787E" w:rsidRPr="007036CA" w:rsidSect="006B256A">
      <w:footnotePr>
        <w:numRestart w:val="eachSect"/>
      </w:footnotePr>
      <w:pgSz w:w="11907" w:h="16840"/>
      <w:pgMar w:top="1133" w:right="1133" w:bottom="851"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91DCD" w14:textId="77777777" w:rsidR="00D711C8" w:rsidRDefault="00D711C8" w:rsidP="001B4DC7">
      <w:pPr>
        <w:spacing w:after="0"/>
      </w:pPr>
      <w:r>
        <w:separator/>
      </w:r>
    </w:p>
  </w:endnote>
  <w:endnote w:type="continuationSeparator" w:id="0">
    <w:p w14:paraId="3B26F9EE" w14:textId="77777777" w:rsidR="00D711C8" w:rsidRDefault="00D711C8" w:rsidP="001B4DC7">
      <w:pPr>
        <w:spacing w:after="0"/>
      </w:pPr>
      <w:r>
        <w:continuationSeparator/>
      </w:r>
    </w:p>
  </w:endnote>
  <w:endnote w:type="continuationNotice" w:id="1">
    <w:p w14:paraId="2A54F7F6" w14:textId="77777777" w:rsidR="00D711C8" w:rsidRDefault="00D711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B7BD80" w14:textId="77777777" w:rsidR="00D711C8" w:rsidRDefault="00D711C8" w:rsidP="001B4DC7">
      <w:pPr>
        <w:spacing w:after="0"/>
      </w:pPr>
      <w:r>
        <w:separator/>
      </w:r>
    </w:p>
  </w:footnote>
  <w:footnote w:type="continuationSeparator" w:id="0">
    <w:p w14:paraId="62D0273E" w14:textId="77777777" w:rsidR="00D711C8" w:rsidRDefault="00D711C8" w:rsidP="001B4DC7">
      <w:pPr>
        <w:spacing w:after="0"/>
      </w:pPr>
      <w:r>
        <w:continuationSeparator/>
      </w:r>
    </w:p>
  </w:footnote>
  <w:footnote w:type="continuationNotice" w:id="1">
    <w:p w14:paraId="17752BED" w14:textId="77777777" w:rsidR="00D711C8" w:rsidRDefault="00D711C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C7510"/>
    <w:multiLevelType w:val="multilevel"/>
    <w:tmpl w:val="000C7510"/>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32B3E63"/>
    <w:multiLevelType w:val="hybridMultilevel"/>
    <w:tmpl w:val="2EC48A90"/>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 w15:restartNumberingAfterBreak="0">
    <w:nsid w:val="09AE0E8E"/>
    <w:multiLevelType w:val="hybridMultilevel"/>
    <w:tmpl w:val="6F3E0B7E"/>
    <w:lvl w:ilvl="0" w:tplc="EB72FB96">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 w15:restartNumberingAfterBreak="0">
    <w:nsid w:val="0B492C5A"/>
    <w:multiLevelType w:val="hybridMultilevel"/>
    <w:tmpl w:val="8526A736"/>
    <w:lvl w:ilvl="0" w:tplc="621AE07C">
      <w:start w:val="2024"/>
      <w:numFmt w:val="bullet"/>
      <w:lvlText w:val="-"/>
      <w:lvlJc w:val="left"/>
      <w:pPr>
        <w:ind w:left="720" w:hanging="360"/>
      </w:pPr>
      <w:rPr>
        <w:rFonts w:ascii="Calibri" w:eastAsia="SimSun"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F8E7084"/>
    <w:multiLevelType w:val="hybridMultilevel"/>
    <w:tmpl w:val="0576DA24"/>
    <w:lvl w:ilvl="0" w:tplc="16344AB2">
      <w:start w:val="1"/>
      <w:numFmt w:val="decimal"/>
      <w:lvlText w:val="%1-"/>
      <w:lvlJc w:val="left"/>
      <w:pPr>
        <w:ind w:left="720" w:hanging="360"/>
      </w:pPr>
      <w:rPr>
        <w:rFonts w:hint="default"/>
        <w:sz w:val="22"/>
        <w:szCs w:val="22"/>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0FBA12E2"/>
    <w:multiLevelType w:val="multilevel"/>
    <w:tmpl w:val="0FBA12E2"/>
    <w:lvl w:ilvl="0">
      <w:start w:val="1"/>
      <w:numFmt w:val="decimal"/>
      <w:lvlText w:val="%1)"/>
      <w:lvlJc w:val="left"/>
      <w:pPr>
        <w:ind w:left="1356" w:hanging="420"/>
      </w:pPr>
      <w:rPr>
        <w:color w:val="auto"/>
      </w:rPr>
    </w:lvl>
    <w:lvl w:ilvl="1">
      <w:start w:val="1"/>
      <w:numFmt w:val="lowerLetter"/>
      <w:lvlText w:val="%2)"/>
      <w:lvlJc w:val="left"/>
      <w:pPr>
        <w:ind w:left="1776" w:hanging="420"/>
      </w:pPr>
    </w:lvl>
    <w:lvl w:ilvl="2">
      <w:start w:val="1"/>
      <w:numFmt w:val="lowerRoman"/>
      <w:lvlText w:val="%3."/>
      <w:lvlJc w:val="right"/>
      <w:pPr>
        <w:ind w:left="2196" w:hanging="420"/>
      </w:pPr>
    </w:lvl>
    <w:lvl w:ilvl="3">
      <w:start w:val="1"/>
      <w:numFmt w:val="decimal"/>
      <w:lvlText w:val="%4."/>
      <w:lvlJc w:val="left"/>
      <w:pPr>
        <w:ind w:left="2616" w:hanging="420"/>
      </w:pPr>
    </w:lvl>
    <w:lvl w:ilvl="4">
      <w:start w:val="1"/>
      <w:numFmt w:val="lowerLetter"/>
      <w:lvlText w:val="%5)"/>
      <w:lvlJc w:val="left"/>
      <w:pPr>
        <w:ind w:left="3036" w:hanging="420"/>
      </w:pPr>
    </w:lvl>
    <w:lvl w:ilvl="5">
      <w:start w:val="1"/>
      <w:numFmt w:val="lowerRoman"/>
      <w:lvlText w:val="%6."/>
      <w:lvlJc w:val="right"/>
      <w:pPr>
        <w:ind w:left="3456" w:hanging="420"/>
      </w:pPr>
    </w:lvl>
    <w:lvl w:ilvl="6">
      <w:start w:val="1"/>
      <w:numFmt w:val="decimal"/>
      <w:lvlText w:val="%7."/>
      <w:lvlJc w:val="left"/>
      <w:pPr>
        <w:ind w:left="3876" w:hanging="420"/>
      </w:pPr>
    </w:lvl>
    <w:lvl w:ilvl="7">
      <w:start w:val="1"/>
      <w:numFmt w:val="lowerLetter"/>
      <w:lvlText w:val="%8)"/>
      <w:lvlJc w:val="left"/>
      <w:pPr>
        <w:ind w:left="4296" w:hanging="420"/>
      </w:pPr>
    </w:lvl>
    <w:lvl w:ilvl="8">
      <w:start w:val="1"/>
      <w:numFmt w:val="lowerRoman"/>
      <w:lvlText w:val="%9."/>
      <w:lvlJc w:val="right"/>
      <w:pPr>
        <w:ind w:left="4716" w:hanging="420"/>
      </w:pPr>
    </w:lvl>
  </w:abstractNum>
  <w:abstractNum w:abstractNumId="6" w15:restartNumberingAfterBreak="0">
    <w:nsid w:val="15C14ABA"/>
    <w:multiLevelType w:val="hybridMultilevel"/>
    <w:tmpl w:val="663A5ABC"/>
    <w:lvl w:ilvl="0" w:tplc="EBB8AEEE">
      <w:start w:val="4"/>
      <w:numFmt w:val="decimal"/>
      <w:lvlText w:val="%1"/>
      <w:lvlJc w:val="left"/>
      <w:pPr>
        <w:ind w:left="760" w:hanging="360"/>
      </w:pPr>
      <w:rPr>
        <w:rFonts w:hint="default"/>
        <w:sz w:val="32"/>
      </w:rPr>
    </w:lvl>
    <w:lvl w:ilvl="1" w:tplc="20000019" w:tentative="1">
      <w:start w:val="1"/>
      <w:numFmt w:val="lowerLetter"/>
      <w:lvlText w:val="%2."/>
      <w:lvlJc w:val="left"/>
      <w:pPr>
        <w:ind w:left="1480" w:hanging="360"/>
      </w:pPr>
    </w:lvl>
    <w:lvl w:ilvl="2" w:tplc="2000001B" w:tentative="1">
      <w:start w:val="1"/>
      <w:numFmt w:val="lowerRoman"/>
      <w:lvlText w:val="%3."/>
      <w:lvlJc w:val="right"/>
      <w:pPr>
        <w:ind w:left="2200" w:hanging="180"/>
      </w:pPr>
    </w:lvl>
    <w:lvl w:ilvl="3" w:tplc="2000000F" w:tentative="1">
      <w:start w:val="1"/>
      <w:numFmt w:val="decimal"/>
      <w:lvlText w:val="%4."/>
      <w:lvlJc w:val="left"/>
      <w:pPr>
        <w:ind w:left="2920" w:hanging="360"/>
      </w:pPr>
    </w:lvl>
    <w:lvl w:ilvl="4" w:tplc="20000019" w:tentative="1">
      <w:start w:val="1"/>
      <w:numFmt w:val="lowerLetter"/>
      <w:lvlText w:val="%5."/>
      <w:lvlJc w:val="left"/>
      <w:pPr>
        <w:ind w:left="3640" w:hanging="360"/>
      </w:pPr>
    </w:lvl>
    <w:lvl w:ilvl="5" w:tplc="2000001B" w:tentative="1">
      <w:start w:val="1"/>
      <w:numFmt w:val="lowerRoman"/>
      <w:lvlText w:val="%6."/>
      <w:lvlJc w:val="right"/>
      <w:pPr>
        <w:ind w:left="4360" w:hanging="180"/>
      </w:pPr>
    </w:lvl>
    <w:lvl w:ilvl="6" w:tplc="2000000F" w:tentative="1">
      <w:start w:val="1"/>
      <w:numFmt w:val="decimal"/>
      <w:lvlText w:val="%7."/>
      <w:lvlJc w:val="left"/>
      <w:pPr>
        <w:ind w:left="5080" w:hanging="360"/>
      </w:pPr>
    </w:lvl>
    <w:lvl w:ilvl="7" w:tplc="20000019" w:tentative="1">
      <w:start w:val="1"/>
      <w:numFmt w:val="lowerLetter"/>
      <w:lvlText w:val="%8."/>
      <w:lvlJc w:val="left"/>
      <w:pPr>
        <w:ind w:left="5800" w:hanging="360"/>
      </w:pPr>
    </w:lvl>
    <w:lvl w:ilvl="8" w:tplc="2000001B" w:tentative="1">
      <w:start w:val="1"/>
      <w:numFmt w:val="lowerRoman"/>
      <w:lvlText w:val="%9."/>
      <w:lvlJc w:val="right"/>
      <w:pPr>
        <w:ind w:left="6520" w:hanging="180"/>
      </w:pPr>
    </w:lvl>
  </w:abstractNum>
  <w:abstractNum w:abstractNumId="7" w15:restartNumberingAfterBreak="0">
    <w:nsid w:val="16783C81"/>
    <w:multiLevelType w:val="multilevel"/>
    <w:tmpl w:val="16783C81"/>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7177B76"/>
    <w:multiLevelType w:val="hybridMultilevel"/>
    <w:tmpl w:val="12C0B192"/>
    <w:lvl w:ilvl="0" w:tplc="0E8665CE">
      <w:start w:val="3"/>
      <w:numFmt w:val="bullet"/>
      <w:lvlText w:val="-"/>
      <w:lvlJc w:val="left"/>
      <w:pPr>
        <w:ind w:left="720" w:hanging="360"/>
      </w:pPr>
      <w:rPr>
        <w:rFonts w:ascii="Calibri" w:eastAsia="SimSun"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D2D783C"/>
    <w:multiLevelType w:val="multilevel"/>
    <w:tmpl w:val="1D2D783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226530A8"/>
    <w:multiLevelType w:val="hybridMultilevel"/>
    <w:tmpl w:val="3B720022"/>
    <w:lvl w:ilvl="0" w:tplc="15C0BB9E">
      <w:start w:val="27"/>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983508B"/>
    <w:multiLevelType w:val="hybridMultilevel"/>
    <w:tmpl w:val="E160D126"/>
    <w:lvl w:ilvl="0" w:tplc="11B0F2FA">
      <w:start w:val="2"/>
      <w:numFmt w:val="bullet"/>
      <w:lvlText w:val="-"/>
      <w:lvlJc w:val="left"/>
      <w:pPr>
        <w:ind w:left="720" w:hanging="360"/>
      </w:pPr>
      <w:rPr>
        <w:rFonts w:ascii="Calibri" w:eastAsia="SimSun"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A942E8C"/>
    <w:multiLevelType w:val="multilevel"/>
    <w:tmpl w:val="2A942E8C"/>
    <w:lvl w:ilvl="0">
      <w:start w:val="1"/>
      <w:numFmt w:val="lowerLetter"/>
      <w:lvlText w:val="%1."/>
      <w:lvlJc w:val="left"/>
      <w:pPr>
        <w:ind w:left="1407" w:hanging="420"/>
      </w:pPr>
    </w:lvl>
    <w:lvl w:ilvl="1">
      <w:start w:val="1"/>
      <w:numFmt w:val="lowerLetter"/>
      <w:lvlText w:val="%2)"/>
      <w:lvlJc w:val="left"/>
      <w:pPr>
        <w:ind w:left="1827" w:hanging="420"/>
      </w:pPr>
    </w:lvl>
    <w:lvl w:ilvl="2">
      <w:start w:val="1"/>
      <w:numFmt w:val="lowerRoman"/>
      <w:lvlText w:val="%3."/>
      <w:lvlJc w:val="right"/>
      <w:pPr>
        <w:ind w:left="2247" w:hanging="420"/>
      </w:pPr>
    </w:lvl>
    <w:lvl w:ilvl="3">
      <w:start w:val="1"/>
      <w:numFmt w:val="decimal"/>
      <w:lvlText w:val="%4."/>
      <w:lvlJc w:val="left"/>
      <w:pPr>
        <w:ind w:left="2667" w:hanging="420"/>
      </w:pPr>
    </w:lvl>
    <w:lvl w:ilvl="4">
      <w:start w:val="1"/>
      <w:numFmt w:val="lowerLetter"/>
      <w:lvlText w:val="%5)"/>
      <w:lvlJc w:val="left"/>
      <w:pPr>
        <w:ind w:left="3087" w:hanging="420"/>
      </w:pPr>
    </w:lvl>
    <w:lvl w:ilvl="5">
      <w:start w:val="1"/>
      <w:numFmt w:val="lowerRoman"/>
      <w:lvlText w:val="%6."/>
      <w:lvlJc w:val="right"/>
      <w:pPr>
        <w:ind w:left="3507" w:hanging="420"/>
      </w:pPr>
    </w:lvl>
    <w:lvl w:ilvl="6">
      <w:start w:val="1"/>
      <w:numFmt w:val="decimal"/>
      <w:lvlText w:val="%7."/>
      <w:lvlJc w:val="left"/>
      <w:pPr>
        <w:ind w:left="3927" w:hanging="420"/>
      </w:pPr>
    </w:lvl>
    <w:lvl w:ilvl="7">
      <w:start w:val="1"/>
      <w:numFmt w:val="lowerLetter"/>
      <w:lvlText w:val="%8)"/>
      <w:lvlJc w:val="left"/>
      <w:pPr>
        <w:ind w:left="4347" w:hanging="420"/>
      </w:pPr>
    </w:lvl>
    <w:lvl w:ilvl="8">
      <w:start w:val="1"/>
      <w:numFmt w:val="lowerRoman"/>
      <w:lvlText w:val="%9."/>
      <w:lvlJc w:val="right"/>
      <w:pPr>
        <w:ind w:left="4767" w:hanging="420"/>
      </w:pPr>
    </w:lvl>
  </w:abstractNum>
  <w:abstractNum w:abstractNumId="13"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4" w15:restartNumberingAfterBreak="0">
    <w:nsid w:val="3C8B700F"/>
    <w:multiLevelType w:val="multilevel"/>
    <w:tmpl w:val="3C8B700F"/>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1F46EB7"/>
    <w:multiLevelType w:val="multilevel"/>
    <w:tmpl w:val="41F46EB7"/>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22D778C"/>
    <w:multiLevelType w:val="hybridMultilevel"/>
    <w:tmpl w:val="ED2C4D86"/>
    <w:lvl w:ilvl="0" w:tplc="E680558A">
      <w:start w:val="5"/>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C4F3A26"/>
    <w:multiLevelType w:val="multilevel"/>
    <w:tmpl w:val="4C4F3A26"/>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18" w15:restartNumberingAfterBreak="0">
    <w:nsid w:val="4CE773AA"/>
    <w:multiLevelType w:val="hybridMultilevel"/>
    <w:tmpl w:val="D9A2CF04"/>
    <w:lvl w:ilvl="0" w:tplc="240AE648">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DF4557C"/>
    <w:multiLevelType w:val="hybridMultilevel"/>
    <w:tmpl w:val="C38E9ECE"/>
    <w:lvl w:ilvl="0" w:tplc="452AEA22">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4EAD1712"/>
    <w:multiLevelType w:val="multilevel"/>
    <w:tmpl w:val="4EAD171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0917ECE"/>
    <w:multiLevelType w:val="hybridMultilevel"/>
    <w:tmpl w:val="7E3C2BF0"/>
    <w:lvl w:ilvl="0" w:tplc="A4C25A3E">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1BD13C1"/>
    <w:multiLevelType w:val="multilevel"/>
    <w:tmpl w:val="51BD13C1"/>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3" w15:restartNumberingAfterBreak="0">
    <w:nsid w:val="51F2736B"/>
    <w:multiLevelType w:val="multilevel"/>
    <w:tmpl w:val="51F2736B"/>
    <w:lvl w:ilvl="0">
      <w:start w:val="1"/>
      <w:numFmt w:val="bullet"/>
      <w:lvlText w:val=""/>
      <w:lvlJc w:val="left"/>
      <w:pPr>
        <w:ind w:left="1356" w:hanging="420"/>
      </w:pPr>
      <w:rPr>
        <w:rFonts w:ascii="Wingdings" w:hAnsi="Wingdings" w:hint="default"/>
      </w:rPr>
    </w:lvl>
    <w:lvl w:ilvl="1">
      <w:start w:val="1"/>
      <w:numFmt w:val="bullet"/>
      <w:lvlText w:val=""/>
      <w:lvlJc w:val="left"/>
      <w:pPr>
        <w:ind w:left="1776" w:hanging="420"/>
      </w:pPr>
      <w:rPr>
        <w:rFonts w:ascii="Wingdings" w:hAnsi="Wingdings" w:hint="default"/>
      </w:rPr>
    </w:lvl>
    <w:lvl w:ilvl="2">
      <w:start w:val="1"/>
      <w:numFmt w:val="bullet"/>
      <w:lvlText w:val=""/>
      <w:lvlJc w:val="left"/>
      <w:pPr>
        <w:ind w:left="2196" w:hanging="420"/>
      </w:pPr>
      <w:rPr>
        <w:rFonts w:ascii="Wingdings" w:hAnsi="Wingdings" w:hint="default"/>
      </w:rPr>
    </w:lvl>
    <w:lvl w:ilvl="3">
      <w:start w:val="1"/>
      <w:numFmt w:val="bullet"/>
      <w:lvlText w:val=""/>
      <w:lvlJc w:val="left"/>
      <w:pPr>
        <w:ind w:left="2616" w:hanging="420"/>
      </w:pPr>
      <w:rPr>
        <w:rFonts w:ascii="Wingdings" w:hAnsi="Wingdings" w:hint="default"/>
      </w:rPr>
    </w:lvl>
    <w:lvl w:ilvl="4">
      <w:start w:val="1"/>
      <w:numFmt w:val="bullet"/>
      <w:lvlText w:val=""/>
      <w:lvlJc w:val="left"/>
      <w:pPr>
        <w:ind w:left="3036" w:hanging="420"/>
      </w:pPr>
      <w:rPr>
        <w:rFonts w:ascii="Wingdings" w:hAnsi="Wingdings" w:hint="default"/>
      </w:rPr>
    </w:lvl>
    <w:lvl w:ilvl="5">
      <w:start w:val="1"/>
      <w:numFmt w:val="bullet"/>
      <w:lvlText w:val=""/>
      <w:lvlJc w:val="left"/>
      <w:pPr>
        <w:ind w:left="3456" w:hanging="420"/>
      </w:pPr>
      <w:rPr>
        <w:rFonts w:ascii="Wingdings" w:hAnsi="Wingdings" w:hint="default"/>
      </w:rPr>
    </w:lvl>
    <w:lvl w:ilvl="6">
      <w:start w:val="1"/>
      <w:numFmt w:val="bullet"/>
      <w:lvlText w:val=""/>
      <w:lvlJc w:val="left"/>
      <w:pPr>
        <w:ind w:left="3876" w:hanging="420"/>
      </w:pPr>
      <w:rPr>
        <w:rFonts w:ascii="Wingdings" w:hAnsi="Wingdings" w:hint="default"/>
      </w:rPr>
    </w:lvl>
    <w:lvl w:ilvl="7">
      <w:start w:val="1"/>
      <w:numFmt w:val="bullet"/>
      <w:lvlText w:val=""/>
      <w:lvlJc w:val="left"/>
      <w:pPr>
        <w:ind w:left="4296" w:hanging="420"/>
      </w:pPr>
      <w:rPr>
        <w:rFonts w:ascii="Wingdings" w:hAnsi="Wingdings" w:hint="default"/>
      </w:rPr>
    </w:lvl>
    <w:lvl w:ilvl="8">
      <w:start w:val="1"/>
      <w:numFmt w:val="bullet"/>
      <w:lvlText w:val=""/>
      <w:lvlJc w:val="left"/>
      <w:pPr>
        <w:ind w:left="4716" w:hanging="420"/>
      </w:pPr>
      <w:rPr>
        <w:rFonts w:ascii="Wingdings" w:hAnsi="Wingdings" w:hint="default"/>
      </w:rPr>
    </w:lvl>
  </w:abstractNum>
  <w:abstractNum w:abstractNumId="24" w15:restartNumberingAfterBreak="0">
    <w:nsid w:val="52821350"/>
    <w:multiLevelType w:val="hybridMultilevel"/>
    <w:tmpl w:val="F9FCC610"/>
    <w:lvl w:ilvl="0" w:tplc="D70ED416">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A855F1C"/>
    <w:multiLevelType w:val="multilevel"/>
    <w:tmpl w:val="5A855F1C"/>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CCD75F2"/>
    <w:multiLevelType w:val="hybridMultilevel"/>
    <w:tmpl w:val="D18A2C6A"/>
    <w:lvl w:ilvl="0" w:tplc="154C5A34">
      <w:start w:val="6"/>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623671D4"/>
    <w:multiLevelType w:val="multilevel"/>
    <w:tmpl w:val="623671D4"/>
    <w:lvl w:ilvl="0">
      <w:start w:val="2"/>
      <w:numFmt w:val="decimal"/>
      <w:lvlText w:val="%1."/>
      <w:lvlJc w:val="left"/>
      <w:pPr>
        <w:ind w:left="360" w:hanging="360"/>
      </w:pPr>
      <w:rPr>
        <w:rFonts w:hint="default"/>
      </w:rPr>
    </w:lvl>
    <w:lvl w:ilvl="1">
      <w:start w:val="1"/>
      <w:numFmt w:val="decimal"/>
      <w:pStyle w:val="Heading2"/>
      <w:isLgl/>
      <w:lvlText w:val="%1.%2."/>
      <w:lvlJc w:val="left"/>
      <w:pPr>
        <w:ind w:left="720" w:hanging="720"/>
      </w:pPr>
      <w:rPr>
        <w:rFonts w:hint="default"/>
      </w:rPr>
    </w:lvl>
    <w:lvl w:ilvl="2">
      <w:start w:val="1"/>
      <w:numFmt w:val="decimal"/>
      <w:pStyle w:val="Heading3"/>
      <w:isLgl/>
      <w:lvlText w:val="%1.%2.%3."/>
      <w:lvlJc w:val="left"/>
      <w:pPr>
        <w:ind w:left="720" w:hanging="720"/>
      </w:pPr>
      <w:rPr>
        <w:rFonts w:hint="default"/>
      </w:rPr>
    </w:lvl>
    <w:lvl w:ilvl="3">
      <w:start w:val="1"/>
      <w:numFmt w:val="decimal"/>
      <w:pStyle w:val="Heading4"/>
      <w:isLgl/>
      <w:lvlText w:val="%1.%2.%3.%4."/>
      <w:lvlJc w:val="left"/>
      <w:pPr>
        <w:ind w:left="1080" w:hanging="1080"/>
      </w:pPr>
      <w:rPr>
        <w:rFonts w:hint="default"/>
      </w:rPr>
    </w:lvl>
    <w:lvl w:ilvl="4">
      <w:start w:val="1"/>
      <w:numFmt w:val="decimal"/>
      <w:pStyle w:val="Heading5"/>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8" w15:restartNumberingAfterBreak="0">
    <w:nsid w:val="66DA179D"/>
    <w:multiLevelType w:val="multilevel"/>
    <w:tmpl w:val="66DA179D"/>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29" w15:restartNumberingAfterBreak="0">
    <w:nsid w:val="707D2FDF"/>
    <w:multiLevelType w:val="hybridMultilevel"/>
    <w:tmpl w:val="4328C514"/>
    <w:lvl w:ilvl="0" w:tplc="26C0F4C2">
      <w:start w:val="5"/>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12B4450"/>
    <w:multiLevelType w:val="multilevel"/>
    <w:tmpl w:val="712B4450"/>
    <w:lvl w:ilvl="0">
      <w:start w:val="1"/>
      <w:numFmt w:val="decimal"/>
      <w:lvlText w:val="%1."/>
      <w:lvlJc w:val="left"/>
      <w:pPr>
        <w:ind w:left="2122" w:hanging="420"/>
      </w:pPr>
    </w:lvl>
    <w:lvl w:ilvl="1">
      <w:start w:val="1"/>
      <w:numFmt w:val="lowerLetter"/>
      <w:lvlText w:val="%2)"/>
      <w:lvlJc w:val="left"/>
      <w:pPr>
        <w:ind w:left="2280" w:hanging="420"/>
      </w:pPr>
    </w:lvl>
    <w:lvl w:ilvl="2">
      <w:start w:val="1"/>
      <w:numFmt w:val="lowerRoman"/>
      <w:lvlText w:val="%3."/>
      <w:lvlJc w:val="right"/>
      <w:pPr>
        <w:ind w:left="2700" w:hanging="420"/>
      </w:pPr>
    </w:lvl>
    <w:lvl w:ilvl="3">
      <w:start w:val="1"/>
      <w:numFmt w:val="decimal"/>
      <w:lvlText w:val="%4."/>
      <w:lvlJc w:val="left"/>
      <w:pPr>
        <w:ind w:left="3120" w:hanging="420"/>
      </w:pPr>
    </w:lvl>
    <w:lvl w:ilvl="4">
      <w:start w:val="1"/>
      <w:numFmt w:val="lowerLetter"/>
      <w:lvlText w:val="%5)"/>
      <w:lvlJc w:val="left"/>
      <w:pPr>
        <w:ind w:left="3540" w:hanging="420"/>
      </w:pPr>
    </w:lvl>
    <w:lvl w:ilvl="5">
      <w:start w:val="1"/>
      <w:numFmt w:val="lowerRoman"/>
      <w:lvlText w:val="%6."/>
      <w:lvlJc w:val="right"/>
      <w:pPr>
        <w:ind w:left="3960" w:hanging="420"/>
      </w:pPr>
    </w:lvl>
    <w:lvl w:ilvl="6">
      <w:start w:val="1"/>
      <w:numFmt w:val="decimal"/>
      <w:lvlText w:val="%7."/>
      <w:lvlJc w:val="left"/>
      <w:pPr>
        <w:ind w:left="4380" w:hanging="420"/>
      </w:pPr>
    </w:lvl>
    <w:lvl w:ilvl="7">
      <w:start w:val="1"/>
      <w:numFmt w:val="lowerLetter"/>
      <w:lvlText w:val="%8)"/>
      <w:lvlJc w:val="left"/>
      <w:pPr>
        <w:ind w:left="4800" w:hanging="420"/>
      </w:pPr>
    </w:lvl>
    <w:lvl w:ilvl="8">
      <w:start w:val="1"/>
      <w:numFmt w:val="lowerRoman"/>
      <w:lvlText w:val="%9."/>
      <w:lvlJc w:val="right"/>
      <w:pPr>
        <w:ind w:left="5220" w:hanging="420"/>
      </w:pPr>
    </w:lvl>
  </w:abstractNum>
  <w:abstractNum w:abstractNumId="31" w15:restartNumberingAfterBreak="0">
    <w:nsid w:val="77A41EEF"/>
    <w:multiLevelType w:val="hybridMultilevel"/>
    <w:tmpl w:val="DC286790"/>
    <w:lvl w:ilvl="0" w:tplc="0916D144">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BE43A91"/>
    <w:multiLevelType w:val="hybridMultilevel"/>
    <w:tmpl w:val="8B6AD9EE"/>
    <w:lvl w:ilvl="0" w:tplc="5442EE82">
      <w:start w:val="25"/>
      <w:numFmt w:val="bullet"/>
      <w:lvlText w:val="-"/>
      <w:lvlJc w:val="left"/>
      <w:pPr>
        <w:ind w:left="720" w:hanging="360"/>
      </w:pPr>
      <w:rPr>
        <w:rFonts w:ascii="Calibri" w:eastAsia="SimSun"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16cid:durableId="916403509">
    <w:abstractNumId w:val="27"/>
  </w:num>
  <w:num w:numId="2" w16cid:durableId="1251890563">
    <w:abstractNumId w:val="13"/>
  </w:num>
  <w:num w:numId="3" w16cid:durableId="1550843955">
    <w:abstractNumId w:val="32"/>
  </w:num>
  <w:num w:numId="4" w16cid:durableId="222983098">
    <w:abstractNumId w:val="17"/>
  </w:num>
  <w:num w:numId="5" w16cid:durableId="364674882">
    <w:abstractNumId w:val="30"/>
  </w:num>
  <w:num w:numId="6" w16cid:durableId="1471164731">
    <w:abstractNumId w:val="28"/>
  </w:num>
  <w:num w:numId="7" w16cid:durableId="1428236140">
    <w:abstractNumId w:val="12"/>
  </w:num>
  <w:num w:numId="8" w16cid:durableId="31882628">
    <w:abstractNumId w:val="23"/>
  </w:num>
  <w:num w:numId="9" w16cid:durableId="110706571">
    <w:abstractNumId w:val="5"/>
  </w:num>
  <w:num w:numId="10" w16cid:durableId="323437866">
    <w:abstractNumId w:val="9"/>
  </w:num>
  <w:num w:numId="11" w16cid:durableId="660744022">
    <w:abstractNumId w:val="7"/>
  </w:num>
  <w:num w:numId="12" w16cid:durableId="1373577020">
    <w:abstractNumId w:val="15"/>
  </w:num>
  <w:num w:numId="13" w16cid:durableId="956375129">
    <w:abstractNumId w:val="0"/>
  </w:num>
  <w:num w:numId="14" w16cid:durableId="1013384630">
    <w:abstractNumId w:val="14"/>
  </w:num>
  <w:num w:numId="15" w16cid:durableId="204872486">
    <w:abstractNumId w:val="20"/>
  </w:num>
  <w:num w:numId="16" w16cid:durableId="39863288">
    <w:abstractNumId w:val="25"/>
  </w:num>
  <w:num w:numId="17" w16cid:durableId="1954551546">
    <w:abstractNumId w:val="22"/>
  </w:num>
  <w:num w:numId="18" w16cid:durableId="1592005545">
    <w:abstractNumId w:val="16"/>
  </w:num>
  <w:num w:numId="19" w16cid:durableId="690886049">
    <w:abstractNumId w:val="29"/>
  </w:num>
  <w:num w:numId="20" w16cid:durableId="1527207351">
    <w:abstractNumId w:val="27"/>
  </w:num>
  <w:num w:numId="21" w16cid:durableId="1247499614">
    <w:abstractNumId w:val="6"/>
  </w:num>
  <w:num w:numId="22" w16cid:durableId="1157384013">
    <w:abstractNumId w:val="34"/>
  </w:num>
  <w:num w:numId="23" w16cid:durableId="440684747">
    <w:abstractNumId w:val="10"/>
  </w:num>
  <w:num w:numId="24" w16cid:durableId="906766166">
    <w:abstractNumId w:val="26"/>
  </w:num>
  <w:num w:numId="25" w16cid:durableId="105740902">
    <w:abstractNumId w:val="1"/>
  </w:num>
  <w:num w:numId="26" w16cid:durableId="1981960061">
    <w:abstractNumId w:val="33"/>
  </w:num>
  <w:num w:numId="27" w16cid:durableId="1894777787">
    <w:abstractNumId w:val="21"/>
  </w:num>
  <w:num w:numId="28" w16cid:durableId="1372924199">
    <w:abstractNumId w:val="24"/>
  </w:num>
  <w:num w:numId="29" w16cid:durableId="1925676294">
    <w:abstractNumId w:val="18"/>
  </w:num>
  <w:num w:numId="30" w16cid:durableId="1111627006">
    <w:abstractNumId w:val="31"/>
  </w:num>
  <w:num w:numId="31" w16cid:durableId="1336305740">
    <w:abstractNumId w:val="2"/>
  </w:num>
  <w:num w:numId="32" w16cid:durableId="150565005">
    <w:abstractNumId w:val="19"/>
  </w:num>
  <w:num w:numId="33" w16cid:durableId="126630939">
    <w:abstractNumId w:val="8"/>
  </w:num>
  <w:num w:numId="34" w16cid:durableId="877205558">
    <w:abstractNumId w:val="11"/>
  </w:num>
  <w:num w:numId="35" w16cid:durableId="1711800577">
    <w:abstractNumId w:val="3"/>
  </w:num>
  <w:num w:numId="36" w16cid:durableId="18463976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0546E"/>
    <w:rsid w:val="00005BC4"/>
    <w:rsid w:val="00006BA1"/>
    <w:rsid w:val="000070B3"/>
    <w:rsid w:val="0000735A"/>
    <w:rsid w:val="00007C0C"/>
    <w:rsid w:val="0001169B"/>
    <w:rsid w:val="000116D0"/>
    <w:rsid w:val="0001352B"/>
    <w:rsid w:val="000137CD"/>
    <w:rsid w:val="00015A6E"/>
    <w:rsid w:val="00016E81"/>
    <w:rsid w:val="000171AA"/>
    <w:rsid w:val="000171B3"/>
    <w:rsid w:val="000174AD"/>
    <w:rsid w:val="000178AD"/>
    <w:rsid w:val="00017D87"/>
    <w:rsid w:val="00020C56"/>
    <w:rsid w:val="00020F2B"/>
    <w:rsid w:val="0002119A"/>
    <w:rsid w:val="0002262B"/>
    <w:rsid w:val="00022BEB"/>
    <w:rsid w:val="00023088"/>
    <w:rsid w:val="000231F1"/>
    <w:rsid w:val="00023DB9"/>
    <w:rsid w:val="000254A8"/>
    <w:rsid w:val="00026ACC"/>
    <w:rsid w:val="00026D45"/>
    <w:rsid w:val="0003171D"/>
    <w:rsid w:val="00031C1D"/>
    <w:rsid w:val="000326C0"/>
    <w:rsid w:val="0003274D"/>
    <w:rsid w:val="00034C2B"/>
    <w:rsid w:val="00035C50"/>
    <w:rsid w:val="0003648D"/>
    <w:rsid w:val="00036BAB"/>
    <w:rsid w:val="000401F3"/>
    <w:rsid w:val="00040AF6"/>
    <w:rsid w:val="00041022"/>
    <w:rsid w:val="00041418"/>
    <w:rsid w:val="00041A12"/>
    <w:rsid w:val="00045715"/>
    <w:rsid w:val="000457A1"/>
    <w:rsid w:val="00050001"/>
    <w:rsid w:val="000503B1"/>
    <w:rsid w:val="0005082D"/>
    <w:rsid w:val="000514D7"/>
    <w:rsid w:val="00052041"/>
    <w:rsid w:val="000520DB"/>
    <w:rsid w:val="000522F7"/>
    <w:rsid w:val="000530D8"/>
    <w:rsid w:val="0005326A"/>
    <w:rsid w:val="0005408B"/>
    <w:rsid w:val="000542B6"/>
    <w:rsid w:val="0006266D"/>
    <w:rsid w:val="00062F83"/>
    <w:rsid w:val="00063EA3"/>
    <w:rsid w:val="00065070"/>
    <w:rsid w:val="00065506"/>
    <w:rsid w:val="00065BB4"/>
    <w:rsid w:val="00066D94"/>
    <w:rsid w:val="00067690"/>
    <w:rsid w:val="00070F0C"/>
    <w:rsid w:val="00070F91"/>
    <w:rsid w:val="00071115"/>
    <w:rsid w:val="000725A2"/>
    <w:rsid w:val="00072AD9"/>
    <w:rsid w:val="00072C38"/>
    <w:rsid w:val="0007382E"/>
    <w:rsid w:val="00073EC0"/>
    <w:rsid w:val="00073FEA"/>
    <w:rsid w:val="00075061"/>
    <w:rsid w:val="00076156"/>
    <w:rsid w:val="000766E1"/>
    <w:rsid w:val="00076CBA"/>
    <w:rsid w:val="000776B1"/>
    <w:rsid w:val="000779E4"/>
    <w:rsid w:val="00077FF6"/>
    <w:rsid w:val="0008031D"/>
    <w:rsid w:val="00080D82"/>
    <w:rsid w:val="00081692"/>
    <w:rsid w:val="000818AC"/>
    <w:rsid w:val="000821DC"/>
    <w:rsid w:val="000822A3"/>
    <w:rsid w:val="00082807"/>
    <w:rsid w:val="00082C46"/>
    <w:rsid w:val="00083DC8"/>
    <w:rsid w:val="00083EDF"/>
    <w:rsid w:val="00084621"/>
    <w:rsid w:val="00085A0E"/>
    <w:rsid w:val="000864E1"/>
    <w:rsid w:val="00087548"/>
    <w:rsid w:val="000876D7"/>
    <w:rsid w:val="0008787E"/>
    <w:rsid w:val="00091058"/>
    <w:rsid w:val="0009168E"/>
    <w:rsid w:val="00093E7E"/>
    <w:rsid w:val="0009463C"/>
    <w:rsid w:val="00095A9F"/>
    <w:rsid w:val="00095E50"/>
    <w:rsid w:val="000964B9"/>
    <w:rsid w:val="000A050D"/>
    <w:rsid w:val="000A1830"/>
    <w:rsid w:val="000A4121"/>
    <w:rsid w:val="000A4AA3"/>
    <w:rsid w:val="000A4F5B"/>
    <w:rsid w:val="000A550E"/>
    <w:rsid w:val="000A5A5F"/>
    <w:rsid w:val="000A65F7"/>
    <w:rsid w:val="000A6836"/>
    <w:rsid w:val="000B033D"/>
    <w:rsid w:val="000B0960"/>
    <w:rsid w:val="000B187D"/>
    <w:rsid w:val="000B1A55"/>
    <w:rsid w:val="000B20BB"/>
    <w:rsid w:val="000B2A35"/>
    <w:rsid w:val="000B2EF6"/>
    <w:rsid w:val="000B2FA6"/>
    <w:rsid w:val="000B4083"/>
    <w:rsid w:val="000B4AA0"/>
    <w:rsid w:val="000B5212"/>
    <w:rsid w:val="000B683B"/>
    <w:rsid w:val="000B72D0"/>
    <w:rsid w:val="000B7BE1"/>
    <w:rsid w:val="000C0DA7"/>
    <w:rsid w:val="000C19A5"/>
    <w:rsid w:val="000C226B"/>
    <w:rsid w:val="000C2553"/>
    <w:rsid w:val="000C38C3"/>
    <w:rsid w:val="000C4063"/>
    <w:rsid w:val="000C4326"/>
    <w:rsid w:val="000C45BF"/>
    <w:rsid w:val="000C5EEA"/>
    <w:rsid w:val="000C7408"/>
    <w:rsid w:val="000D09FD"/>
    <w:rsid w:val="000D44FB"/>
    <w:rsid w:val="000D5143"/>
    <w:rsid w:val="000D574B"/>
    <w:rsid w:val="000D589E"/>
    <w:rsid w:val="000D61AA"/>
    <w:rsid w:val="000D6CFC"/>
    <w:rsid w:val="000D6DC2"/>
    <w:rsid w:val="000D6F5C"/>
    <w:rsid w:val="000D7E08"/>
    <w:rsid w:val="000E1DFF"/>
    <w:rsid w:val="000E3096"/>
    <w:rsid w:val="000E31FC"/>
    <w:rsid w:val="000E40F3"/>
    <w:rsid w:val="000E537B"/>
    <w:rsid w:val="000E57D0"/>
    <w:rsid w:val="000E5FBB"/>
    <w:rsid w:val="000E60D7"/>
    <w:rsid w:val="000E6EE8"/>
    <w:rsid w:val="000E778D"/>
    <w:rsid w:val="000E7858"/>
    <w:rsid w:val="000E7F9B"/>
    <w:rsid w:val="000F0047"/>
    <w:rsid w:val="000F0CEF"/>
    <w:rsid w:val="000F1079"/>
    <w:rsid w:val="000F12D3"/>
    <w:rsid w:val="000F229F"/>
    <w:rsid w:val="000F22A8"/>
    <w:rsid w:val="000F2A0B"/>
    <w:rsid w:val="000F39CA"/>
    <w:rsid w:val="000F47C4"/>
    <w:rsid w:val="000F52E5"/>
    <w:rsid w:val="000F6054"/>
    <w:rsid w:val="000F76F6"/>
    <w:rsid w:val="0010097B"/>
    <w:rsid w:val="00103040"/>
    <w:rsid w:val="00103312"/>
    <w:rsid w:val="00104DA3"/>
    <w:rsid w:val="00105924"/>
    <w:rsid w:val="00107927"/>
    <w:rsid w:val="00107FB5"/>
    <w:rsid w:val="00110E26"/>
    <w:rsid w:val="00111321"/>
    <w:rsid w:val="0011309F"/>
    <w:rsid w:val="001130FA"/>
    <w:rsid w:val="00113108"/>
    <w:rsid w:val="00114077"/>
    <w:rsid w:val="00114A17"/>
    <w:rsid w:val="001157C2"/>
    <w:rsid w:val="00116C33"/>
    <w:rsid w:val="00117469"/>
    <w:rsid w:val="00117BD6"/>
    <w:rsid w:val="00117E0C"/>
    <w:rsid w:val="001203EE"/>
    <w:rsid w:val="001206C2"/>
    <w:rsid w:val="00121978"/>
    <w:rsid w:val="00123422"/>
    <w:rsid w:val="0012478A"/>
    <w:rsid w:val="00124B6A"/>
    <w:rsid w:val="00125611"/>
    <w:rsid w:val="00125824"/>
    <w:rsid w:val="00126062"/>
    <w:rsid w:val="001264B5"/>
    <w:rsid w:val="001277F0"/>
    <w:rsid w:val="00127813"/>
    <w:rsid w:val="00130A7E"/>
    <w:rsid w:val="00131B52"/>
    <w:rsid w:val="00132079"/>
    <w:rsid w:val="001324AE"/>
    <w:rsid w:val="00133165"/>
    <w:rsid w:val="00134FBA"/>
    <w:rsid w:val="001352BA"/>
    <w:rsid w:val="00136413"/>
    <w:rsid w:val="00136B7B"/>
    <w:rsid w:val="00136D4C"/>
    <w:rsid w:val="00137015"/>
    <w:rsid w:val="001375BE"/>
    <w:rsid w:val="00137874"/>
    <w:rsid w:val="001378DE"/>
    <w:rsid w:val="001406E4"/>
    <w:rsid w:val="00142538"/>
    <w:rsid w:val="00142BB9"/>
    <w:rsid w:val="00143B45"/>
    <w:rsid w:val="001442C6"/>
    <w:rsid w:val="001446E1"/>
    <w:rsid w:val="00144F96"/>
    <w:rsid w:val="001478E4"/>
    <w:rsid w:val="00151EAC"/>
    <w:rsid w:val="00152607"/>
    <w:rsid w:val="00153528"/>
    <w:rsid w:val="00153D85"/>
    <w:rsid w:val="001545D6"/>
    <w:rsid w:val="00154857"/>
    <w:rsid w:val="00154A0F"/>
    <w:rsid w:val="00154D21"/>
    <w:rsid w:val="00154E68"/>
    <w:rsid w:val="00155B68"/>
    <w:rsid w:val="001573F0"/>
    <w:rsid w:val="001601C3"/>
    <w:rsid w:val="0016025E"/>
    <w:rsid w:val="00160CCB"/>
    <w:rsid w:val="0016165F"/>
    <w:rsid w:val="001617F2"/>
    <w:rsid w:val="00161B73"/>
    <w:rsid w:val="00161E27"/>
    <w:rsid w:val="00162548"/>
    <w:rsid w:val="00162AC8"/>
    <w:rsid w:val="001659E8"/>
    <w:rsid w:val="00166E58"/>
    <w:rsid w:val="00167F74"/>
    <w:rsid w:val="00170714"/>
    <w:rsid w:val="00170E6D"/>
    <w:rsid w:val="00170FC0"/>
    <w:rsid w:val="00172183"/>
    <w:rsid w:val="00172290"/>
    <w:rsid w:val="001724B6"/>
    <w:rsid w:val="001732F8"/>
    <w:rsid w:val="001747C5"/>
    <w:rsid w:val="001751AB"/>
    <w:rsid w:val="00175269"/>
    <w:rsid w:val="00175A3F"/>
    <w:rsid w:val="00175CEB"/>
    <w:rsid w:val="00177533"/>
    <w:rsid w:val="00180E09"/>
    <w:rsid w:val="00181080"/>
    <w:rsid w:val="00182892"/>
    <w:rsid w:val="001832B8"/>
    <w:rsid w:val="001837C5"/>
    <w:rsid w:val="00183D4C"/>
    <w:rsid w:val="00183DB5"/>
    <w:rsid w:val="00183F6D"/>
    <w:rsid w:val="00183FE5"/>
    <w:rsid w:val="001845EC"/>
    <w:rsid w:val="0018670E"/>
    <w:rsid w:val="0018675A"/>
    <w:rsid w:val="00187156"/>
    <w:rsid w:val="001913F6"/>
    <w:rsid w:val="00191A0F"/>
    <w:rsid w:val="0019219A"/>
    <w:rsid w:val="001925E1"/>
    <w:rsid w:val="001928D8"/>
    <w:rsid w:val="00193C16"/>
    <w:rsid w:val="00193D1C"/>
    <w:rsid w:val="00193D90"/>
    <w:rsid w:val="00194EA6"/>
    <w:rsid w:val="00195077"/>
    <w:rsid w:val="00196AC7"/>
    <w:rsid w:val="00197BA5"/>
    <w:rsid w:val="00197D30"/>
    <w:rsid w:val="001A033F"/>
    <w:rsid w:val="001A08AA"/>
    <w:rsid w:val="001A0B38"/>
    <w:rsid w:val="001A1113"/>
    <w:rsid w:val="001A1D06"/>
    <w:rsid w:val="001A272A"/>
    <w:rsid w:val="001A59CB"/>
    <w:rsid w:val="001A6EA1"/>
    <w:rsid w:val="001B3474"/>
    <w:rsid w:val="001B4757"/>
    <w:rsid w:val="001B4DC7"/>
    <w:rsid w:val="001B54BB"/>
    <w:rsid w:val="001B551F"/>
    <w:rsid w:val="001B5FAF"/>
    <w:rsid w:val="001B7991"/>
    <w:rsid w:val="001C1276"/>
    <w:rsid w:val="001C1409"/>
    <w:rsid w:val="001C1C0A"/>
    <w:rsid w:val="001C1C8A"/>
    <w:rsid w:val="001C2AE6"/>
    <w:rsid w:val="001C2D85"/>
    <w:rsid w:val="001C3C24"/>
    <w:rsid w:val="001C405A"/>
    <w:rsid w:val="001C4245"/>
    <w:rsid w:val="001C42FA"/>
    <w:rsid w:val="001C45C2"/>
    <w:rsid w:val="001C4609"/>
    <w:rsid w:val="001C4A89"/>
    <w:rsid w:val="001C6177"/>
    <w:rsid w:val="001C7374"/>
    <w:rsid w:val="001D0363"/>
    <w:rsid w:val="001D064B"/>
    <w:rsid w:val="001D0AD2"/>
    <w:rsid w:val="001D12B4"/>
    <w:rsid w:val="001D417E"/>
    <w:rsid w:val="001D4C5B"/>
    <w:rsid w:val="001D4E69"/>
    <w:rsid w:val="001D64CE"/>
    <w:rsid w:val="001D6B65"/>
    <w:rsid w:val="001D7D94"/>
    <w:rsid w:val="001E0A28"/>
    <w:rsid w:val="001E0A9C"/>
    <w:rsid w:val="001E153D"/>
    <w:rsid w:val="001E1589"/>
    <w:rsid w:val="001E1ABA"/>
    <w:rsid w:val="001E413D"/>
    <w:rsid w:val="001E4218"/>
    <w:rsid w:val="001E4239"/>
    <w:rsid w:val="001E5D42"/>
    <w:rsid w:val="001F035C"/>
    <w:rsid w:val="001F0B20"/>
    <w:rsid w:val="001F119E"/>
    <w:rsid w:val="001F1C54"/>
    <w:rsid w:val="001F1CC4"/>
    <w:rsid w:val="001F1E47"/>
    <w:rsid w:val="001F203F"/>
    <w:rsid w:val="001F274E"/>
    <w:rsid w:val="001F2F92"/>
    <w:rsid w:val="001F3456"/>
    <w:rsid w:val="001F7667"/>
    <w:rsid w:val="0020073A"/>
    <w:rsid w:val="002009FA"/>
    <w:rsid w:val="00200A62"/>
    <w:rsid w:val="00200B73"/>
    <w:rsid w:val="00203312"/>
    <w:rsid w:val="00203675"/>
    <w:rsid w:val="00203740"/>
    <w:rsid w:val="00203A27"/>
    <w:rsid w:val="00203E62"/>
    <w:rsid w:val="00204164"/>
    <w:rsid w:val="00204CFB"/>
    <w:rsid w:val="00206281"/>
    <w:rsid w:val="00206403"/>
    <w:rsid w:val="002064FF"/>
    <w:rsid w:val="00206BBA"/>
    <w:rsid w:val="00207C60"/>
    <w:rsid w:val="00210ECD"/>
    <w:rsid w:val="002111D6"/>
    <w:rsid w:val="00213087"/>
    <w:rsid w:val="002138EA"/>
    <w:rsid w:val="00213F84"/>
    <w:rsid w:val="0021405F"/>
    <w:rsid w:val="00214584"/>
    <w:rsid w:val="00214FBD"/>
    <w:rsid w:val="00216114"/>
    <w:rsid w:val="002176B0"/>
    <w:rsid w:val="00220019"/>
    <w:rsid w:val="00220747"/>
    <w:rsid w:val="00220F84"/>
    <w:rsid w:val="00222897"/>
    <w:rsid w:val="00222B0C"/>
    <w:rsid w:val="00224060"/>
    <w:rsid w:val="00224418"/>
    <w:rsid w:val="00224B51"/>
    <w:rsid w:val="00225A5D"/>
    <w:rsid w:val="00226787"/>
    <w:rsid w:val="0022782C"/>
    <w:rsid w:val="00227A34"/>
    <w:rsid w:val="00230C9E"/>
    <w:rsid w:val="00232191"/>
    <w:rsid w:val="00233023"/>
    <w:rsid w:val="002333E3"/>
    <w:rsid w:val="002343A1"/>
    <w:rsid w:val="00235394"/>
    <w:rsid w:val="00235577"/>
    <w:rsid w:val="00235EE1"/>
    <w:rsid w:val="002371B2"/>
    <w:rsid w:val="002379A7"/>
    <w:rsid w:val="00241FE5"/>
    <w:rsid w:val="0024350D"/>
    <w:rsid w:val="002435CA"/>
    <w:rsid w:val="0024444C"/>
    <w:rsid w:val="0024469F"/>
    <w:rsid w:val="002457A0"/>
    <w:rsid w:val="0024592A"/>
    <w:rsid w:val="00246A5E"/>
    <w:rsid w:val="00250B5B"/>
    <w:rsid w:val="00250F5C"/>
    <w:rsid w:val="00251220"/>
    <w:rsid w:val="00252B06"/>
    <w:rsid w:val="00252DB8"/>
    <w:rsid w:val="002537BC"/>
    <w:rsid w:val="00254352"/>
    <w:rsid w:val="00255C58"/>
    <w:rsid w:val="00255CB1"/>
    <w:rsid w:val="002605AA"/>
    <w:rsid w:val="00260EC7"/>
    <w:rsid w:val="00260F67"/>
    <w:rsid w:val="00261539"/>
    <w:rsid w:val="0026179F"/>
    <w:rsid w:val="00261AEF"/>
    <w:rsid w:val="002627ED"/>
    <w:rsid w:val="00262F62"/>
    <w:rsid w:val="002633F1"/>
    <w:rsid w:val="002638B0"/>
    <w:rsid w:val="00264365"/>
    <w:rsid w:val="002666AE"/>
    <w:rsid w:val="00267651"/>
    <w:rsid w:val="00267F36"/>
    <w:rsid w:val="00270194"/>
    <w:rsid w:val="00270883"/>
    <w:rsid w:val="00270DAE"/>
    <w:rsid w:val="0027369C"/>
    <w:rsid w:val="00274685"/>
    <w:rsid w:val="00274E1A"/>
    <w:rsid w:val="00275251"/>
    <w:rsid w:val="002775B1"/>
    <w:rsid w:val="002775B9"/>
    <w:rsid w:val="00277948"/>
    <w:rsid w:val="002811C4"/>
    <w:rsid w:val="00282213"/>
    <w:rsid w:val="00282722"/>
    <w:rsid w:val="00282C4D"/>
    <w:rsid w:val="00282CD2"/>
    <w:rsid w:val="00283630"/>
    <w:rsid w:val="002837AB"/>
    <w:rsid w:val="00284016"/>
    <w:rsid w:val="002858BF"/>
    <w:rsid w:val="002876F4"/>
    <w:rsid w:val="00287E11"/>
    <w:rsid w:val="00290B22"/>
    <w:rsid w:val="00292199"/>
    <w:rsid w:val="002939AF"/>
    <w:rsid w:val="00294491"/>
    <w:rsid w:val="00294BDE"/>
    <w:rsid w:val="002A0CED"/>
    <w:rsid w:val="002A1275"/>
    <w:rsid w:val="002A245D"/>
    <w:rsid w:val="002A3200"/>
    <w:rsid w:val="002A3700"/>
    <w:rsid w:val="002A376D"/>
    <w:rsid w:val="002A403A"/>
    <w:rsid w:val="002A41F1"/>
    <w:rsid w:val="002A49D9"/>
    <w:rsid w:val="002A4CD0"/>
    <w:rsid w:val="002A4FDE"/>
    <w:rsid w:val="002A5319"/>
    <w:rsid w:val="002A5A96"/>
    <w:rsid w:val="002A741F"/>
    <w:rsid w:val="002A7A12"/>
    <w:rsid w:val="002A7DA6"/>
    <w:rsid w:val="002B3422"/>
    <w:rsid w:val="002B38FE"/>
    <w:rsid w:val="002B4193"/>
    <w:rsid w:val="002B4343"/>
    <w:rsid w:val="002B516C"/>
    <w:rsid w:val="002B56A0"/>
    <w:rsid w:val="002B5ADF"/>
    <w:rsid w:val="002B5E1D"/>
    <w:rsid w:val="002B60C1"/>
    <w:rsid w:val="002B77D0"/>
    <w:rsid w:val="002C0F22"/>
    <w:rsid w:val="002C16C3"/>
    <w:rsid w:val="002C19C2"/>
    <w:rsid w:val="002C266D"/>
    <w:rsid w:val="002C2D03"/>
    <w:rsid w:val="002C30F0"/>
    <w:rsid w:val="002C3BD9"/>
    <w:rsid w:val="002C469A"/>
    <w:rsid w:val="002C4AC9"/>
    <w:rsid w:val="002C4B52"/>
    <w:rsid w:val="002C577C"/>
    <w:rsid w:val="002C5CAC"/>
    <w:rsid w:val="002C7AE8"/>
    <w:rsid w:val="002D03E5"/>
    <w:rsid w:val="002D1065"/>
    <w:rsid w:val="002D107F"/>
    <w:rsid w:val="002D36EB"/>
    <w:rsid w:val="002D5DDF"/>
    <w:rsid w:val="002D6B49"/>
    <w:rsid w:val="002D6BDF"/>
    <w:rsid w:val="002D6C49"/>
    <w:rsid w:val="002D7023"/>
    <w:rsid w:val="002E04FC"/>
    <w:rsid w:val="002E1497"/>
    <w:rsid w:val="002E2C16"/>
    <w:rsid w:val="002E2CE9"/>
    <w:rsid w:val="002E3535"/>
    <w:rsid w:val="002E3BF7"/>
    <w:rsid w:val="002E403E"/>
    <w:rsid w:val="002E405C"/>
    <w:rsid w:val="002E4A20"/>
    <w:rsid w:val="002E4AD8"/>
    <w:rsid w:val="002E4C74"/>
    <w:rsid w:val="002E4D00"/>
    <w:rsid w:val="002E5961"/>
    <w:rsid w:val="002E643F"/>
    <w:rsid w:val="002E670F"/>
    <w:rsid w:val="002E6ECC"/>
    <w:rsid w:val="002E791A"/>
    <w:rsid w:val="002F158C"/>
    <w:rsid w:val="002F2D93"/>
    <w:rsid w:val="002F4093"/>
    <w:rsid w:val="002F4A85"/>
    <w:rsid w:val="002F4E33"/>
    <w:rsid w:val="002F52C3"/>
    <w:rsid w:val="002F5636"/>
    <w:rsid w:val="002F5724"/>
    <w:rsid w:val="002F76D3"/>
    <w:rsid w:val="0030082D"/>
    <w:rsid w:val="003012BA"/>
    <w:rsid w:val="00301857"/>
    <w:rsid w:val="003019C9"/>
    <w:rsid w:val="003022A5"/>
    <w:rsid w:val="00302403"/>
    <w:rsid w:val="003039AA"/>
    <w:rsid w:val="00304B85"/>
    <w:rsid w:val="00304ED0"/>
    <w:rsid w:val="00304F9C"/>
    <w:rsid w:val="003056BD"/>
    <w:rsid w:val="00306EE8"/>
    <w:rsid w:val="00307E51"/>
    <w:rsid w:val="0031024E"/>
    <w:rsid w:val="0031117B"/>
    <w:rsid w:val="00311363"/>
    <w:rsid w:val="003129BB"/>
    <w:rsid w:val="00313257"/>
    <w:rsid w:val="0031346F"/>
    <w:rsid w:val="00313A3B"/>
    <w:rsid w:val="00315867"/>
    <w:rsid w:val="003158BB"/>
    <w:rsid w:val="003160A8"/>
    <w:rsid w:val="00321150"/>
    <w:rsid w:val="003222F9"/>
    <w:rsid w:val="00322738"/>
    <w:rsid w:val="00322E9B"/>
    <w:rsid w:val="003230EF"/>
    <w:rsid w:val="0032332C"/>
    <w:rsid w:val="00323FF7"/>
    <w:rsid w:val="00324640"/>
    <w:rsid w:val="00325426"/>
    <w:rsid w:val="003260D7"/>
    <w:rsid w:val="0032629B"/>
    <w:rsid w:val="00326D90"/>
    <w:rsid w:val="00327199"/>
    <w:rsid w:val="00327D12"/>
    <w:rsid w:val="00331256"/>
    <w:rsid w:val="003315E4"/>
    <w:rsid w:val="00334385"/>
    <w:rsid w:val="00334AE3"/>
    <w:rsid w:val="0033569F"/>
    <w:rsid w:val="003359C0"/>
    <w:rsid w:val="00335C1B"/>
    <w:rsid w:val="00336697"/>
    <w:rsid w:val="00340526"/>
    <w:rsid w:val="00341377"/>
    <w:rsid w:val="0034162D"/>
    <w:rsid w:val="003418CB"/>
    <w:rsid w:val="00341CC8"/>
    <w:rsid w:val="00341DA6"/>
    <w:rsid w:val="00343B9F"/>
    <w:rsid w:val="0034438D"/>
    <w:rsid w:val="0034560D"/>
    <w:rsid w:val="00345F9B"/>
    <w:rsid w:val="0034613F"/>
    <w:rsid w:val="00347D42"/>
    <w:rsid w:val="00350CEF"/>
    <w:rsid w:val="00352CCD"/>
    <w:rsid w:val="0035313A"/>
    <w:rsid w:val="003538A2"/>
    <w:rsid w:val="00355289"/>
    <w:rsid w:val="00355873"/>
    <w:rsid w:val="00355A64"/>
    <w:rsid w:val="00355F6E"/>
    <w:rsid w:val="0035660F"/>
    <w:rsid w:val="0035682A"/>
    <w:rsid w:val="00356C01"/>
    <w:rsid w:val="0035777E"/>
    <w:rsid w:val="0035784E"/>
    <w:rsid w:val="003628B9"/>
    <w:rsid w:val="00362D8F"/>
    <w:rsid w:val="00363781"/>
    <w:rsid w:val="00363CBC"/>
    <w:rsid w:val="00365319"/>
    <w:rsid w:val="00365D0E"/>
    <w:rsid w:val="00366337"/>
    <w:rsid w:val="0036743C"/>
    <w:rsid w:val="00367724"/>
    <w:rsid w:val="00370290"/>
    <w:rsid w:val="0037098A"/>
    <w:rsid w:val="00370C0B"/>
    <w:rsid w:val="003710BA"/>
    <w:rsid w:val="0037188E"/>
    <w:rsid w:val="0037243D"/>
    <w:rsid w:val="003726E7"/>
    <w:rsid w:val="003728FE"/>
    <w:rsid w:val="00372C2A"/>
    <w:rsid w:val="00374E8F"/>
    <w:rsid w:val="00375A94"/>
    <w:rsid w:val="00375E74"/>
    <w:rsid w:val="00375EC0"/>
    <w:rsid w:val="003766FD"/>
    <w:rsid w:val="003770F6"/>
    <w:rsid w:val="00377BA6"/>
    <w:rsid w:val="00380482"/>
    <w:rsid w:val="00380C2E"/>
    <w:rsid w:val="00380E54"/>
    <w:rsid w:val="00382B85"/>
    <w:rsid w:val="00383E37"/>
    <w:rsid w:val="003847F6"/>
    <w:rsid w:val="00386B8C"/>
    <w:rsid w:val="00391690"/>
    <w:rsid w:val="00393042"/>
    <w:rsid w:val="0039353B"/>
    <w:rsid w:val="00394AD5"/>
    <w:rsid w:val="00395B35"/>
    <w:rsid w:val="0039642D"/>
    <w:rsid w:val="0039762B"/>
    <w:rsid w:val="003978E7"/>
    <w:rsid w:val="003A03F5"/>
    <w:rsid w:val="003A2E40"/>
    <w:rsid w:val="003A3559"/>
    <w:rsid w:val="003A3784"/>
    <w:rsid w:val="003A3C87"/>
    <w:rsid w:val="003A3DD6"/>
    <w:rsid w:val="003A41C2"/>
    <w:rsid w:val="003A5470"/>
    <w:rsid w:val="003B0158"/>
    <w:rsid w:val="003B02EB"/>
    <w:rsid w:val="003B2018"/>
    <w:rsid w:val="003B35AA"/>
    <w:rsid w:val="003B40B6"/>
    <w:rsid w:val="003B4894"/>
    <w:rsid w:val="003B56DB"/>
    <w:rsid w:val="003B6CAD"/>
    <w:rsid w:val="003B7146"/>
    <w:rsid w:val="003B727B"/>
    <w:rsid w:val="003B755E"/>
    <w:rsid w:val="003B7B57"/>
    <w:rsid w:val="003C0954"/>
    <w:rsid w:val="003C1F73"/>
    <w:rsid w:val="003C228E"/>
    <w:rsid w:val="003C23FF"/>
    <w:rsid w:val="003C2470"/>
    <w:rsid w:val="003C3665"/>
    <w:rsid w:val="003C36FB"/>
    <w:rsid w:val="003C46D1"/>
    <w:rsid w:val="003C4BCE"/>
    <w:rsid w:val="003C51E7"/>
    <w:rsid w:val="003C5492"/>
    <w:rsid w:val="003C6005"/>
    <w:rsid w:val="003C6771"/>
    <w:rsid w:val="003C6893"/>
    <w:rsid w:val="003C6DE2"/>
    <w:rsid w:val="003D16D0"/>
    <w:rsid w:val="003D1EFD"/>
    <w:rsid w:val="003D28BF"/>
    <w:rsid w:val="003D2BD3"/>
    <w:rsid w:val="003D4215"/>
    <w:rsid w:val="003D4266"/>
    <w:rsid w:val="003D4305"/>
    <w:rsid w:val="003D4A06"/>
    <w:rsid w:val="003D4C47"/>
    <w:rsid w:val="003D57EC"/>
    <w:rsid w:val="003D5AF7"/>
    <w:rsid w:val="003D7719"/>
    <w:rsid w:val="003E036A"/>
    <w:rsid w:val="003E0668"/>
    <w:rsid w:val="003E0BEA"/>
    <w:rsid w:val="003E110E"/>
    <w:rsid w:val="003E1B64"/>
    <w:rsid w:val="003E247D"/>
    <w:rsid w:val="003E2563"/>
    <w:rsid w:val="003E3EC3"/>
    <w:rsid w:val="003E40EE"/>
    <w:rsid w:val="003E550C"/>
    <w:rsid w:val="003E5740"/>
    <w:rsid w:val="003E58AE"/>
    <w:rsid w:val="003E5A3D"/>
    <w:rsid w:val="003E6C28"/>
    <w:rsid w:val="003E702A"/>
    <w:rsid w:val="003F066A"/>
    <w:rsid w:val="003F1C1B"/>
    <w:rsid w:val="003F24ED"/>
    <w:rsid w:val="003F3A2F"/>
    <w:rsid w:val="003F4E68"/>
    <w:rsid w:val="003F67F0"/>
    <w:rsid w:val="0040093E"/>
    <w:rsid w:val="00401144"/>
    <w:rsid w:val="00401933"/>
    <w:rsid w:val="00402EB7"/>
    <w:rsid w:val="00403B56"/>
    <w:rsid w:val="00403C05"/>
    <w:rsid w:val="00403CA6"/>
    <w:rsid w:val="00404098"/>
    <w:rsid w:val="0040416D"/>
    <w:rsid w:val="004043B9"/>
    <w:rsid w:val="004047C6"/>
    <w:rsid w:val="00404831"/>
    <w:rsid w:val="0040590F"/>
    <w:rsid w:val="00406C17"/>
    <w:rsid w:val="00407661"/>
    <w:rsid w:val="00410314"/>
    <w:rsid w:val="004119C2"/>
    <w:rsid w:val="00412063"/>
    <w:rsid w:val="004124CD"/>
    <w:rsid w:val="00412EB1"/>
    <w:rsid w:val="00413279"/>
    <w:rsid w:val="004137BA"/>
    <w:rsid w:val="00413C63"/>
    <w:rsid w:val="00413DDE"/>
    <w:rsid w:val="00413F2F"/>
    <w:rsid w:val="00414118"/>
    <w:rsid w:val="00416084"/>
    <w:rsid w:val="0041694A"/>
    <w:rsid w:val="00417185"/>
    <w:rsid w:val="00420051"/>
    <w:rsid w:val="00420419"/>
    <w:rsid w:val="00420E15"/>
    <w:rsid w:val="00420F36"/>
    <w:rsid w:val="00421A09"/>
    <w:rsid w:val="00421B12"/>
    <w:rsid w:val="00421FBA"/>
    <w:rsid w:val="004231A2"/>
    <w:rsid w:val="00424F8C"/>
    <w:rsid w:val="00425B1F"/>
    <w:rsid w:val="004261A4"/>
    <w:rsid w:val="004271BA"/>
    <w:rsid w:val="00427298"/>
    <w:rsid w:val="00430497"/>
    <w:rsid w:val="00430DCF"/>
    <w:rsid w:val="00430EA5"/>
    <w:rsid w:val="00431124"/>
    <w:rsid w:val="0043113C"/>
    <w:rsid w:val="00431BBF"/>
    <w:rsid w:val="00434DC1"/>
    <w:rsid w:val="004350F4"/>
    <w:rsid w:val="0043529F"/>
    <w:rsid w:val="0043574E"/>
    <w:rsid w:val="00435B61"/>
    <w:rsid w:val="004364FE"/>
    <w:rsid w:val="0043669B"/>
    <w:rsid w:val="00436F88"/>
    <w:rsid w:val="00437AF7"/>
    <w:rsid w:val="004412A0"/>
    <w:rsid w:val="00441CDD"/>
    <w:rsid w:val="00442337"/>
    <w:rsid w:val="00443043"/>
    <w:rsid w:val="00444884"/>
    <w:rsid w:val="00446408"/>
    <w:rsid w:val="00446B49"/>
    <w:rsid w:val="00446BE3"/>
    <w:rsid w:val="00450F27"/>
    <w:rsid w:val="004510E5"/>
    <w:rsid w:val="00452E24"/>
    <w:rsid w:val="004533E9"/>
    <w:rsid w:val="00453DC1"/>
    <w:rsid w:val="00454325"/>
    <w:rsid w:val="004543C3"/>
    <w:rsid w:val="00454FA3"/>
    <w:rsid w:val="00454FFB"/>
    <w:rsid w:val="00456A75"/>
    <w:rsid w:val="004572F8"/>
    <w:rsid w:val="00457F84"/>
    <w:rsid w:val="00457FA1"/>
    <w:rsid w:val="00460283"/>
    <w:rsid w:val="004610AD"/>
    <w:rsid w:val="00461122"/>
    <w:rsid w:val="00461E39"/>
    <w:rsid w:val="00461E4D"/>
    <w:rsid w:val="00462AD5"/>
    <w:rsid w:val="00462D3A"/>
    <w:rsid w:val="00463521"/>
    <w:rsid w:val="00466DE3"/>
    <w:rsid w:val="00467C2E"/>
    <w:rsid w:val="00471125"/>
    <w:rsid w:val="004724F9"/>
    <w:rsid w:val="00472EC8"/>
    <w:rsid w:val="0047437A"/>
    <w:rsid w:val="00475DAD"/>
    <w:rsid w:val="004766AD"/>
    <w:rsid w:val="00480513"/>
    <w:rsid w:val="00480CC2"/>
    <w:rsid w:val="00480E42"/>
    <w:rsid w:val="00482099"/>
    <w:rsid w:val="00484A5C"/>
    <w:rsid w:val="00484C5D"/>
    <w:rsid w:val="00484CAA"/>
    <w:rsid w:val="0048543E"/>
    <w:rsid w:val="004856E5"/>
    <w:rsid w:val="00486312"/>
    <w:rsid w:val="004868C1"/>
    <w:rsid w:val="00486AF7"/>
    <w:rsid w:val="00486F64"/>
    <w:rsid w:val="0048750F"/>
    <w:rsid w:val="00490332"/>
    <w:rsid w:val="00491000"/>
    <w:rsid w:val="00491648"/>
    <w:rsid w:val="00491776"/>
    <w:rsid w:val="00491D6C"/>
    <w:rsid w:val="00494E0B"/>
    <w:rsid w:val="00494EAF"/>
    <w:rsid w:val="00496F7D"/>
    <w:rsid w:val="00497717"/>
    <w:rsid w:val="004A0430"/>
    <w:rsid w:val="004A07D1"/>
    <w:rsid w:val="004A088B"/>
    <w:rsid w:val="004A1945"/>
    <w:rsid w:val="004A20BA"/>
    <w:rsid w:val="004A382D"/>
    <w:rsid w:val="004A3B6D"/>
    <w:rsid w:val="004A44F1"/>
    <w:rsid w:val="004A4606"/>
    <w:rsid w:val="004A495F"/>
    <w:rsid w:val="004A4B55"/>
    <w:rsid w:val="004A638A"/>
    <w:rsid w:val="004A6EA0"/>
    <w:rsid w:val="004A6F08"/>
    <w:rsid w:val="004A7544"/>
    <w:rsid w:val="004A7710"/>
    <w:rsid w:val="004B27C9"/>
    <w:rsid w:val="004B3000"/>
    <w:rsid w:val="004B3DC0"/>
    <w:rsid w:val="004B46D3"/>
    <w:rsid w:val="004B48DE"/>
    <w:rsid w:val="004B4EF2"/>
    <w:rsid w:val="004B6A3B"/>
    <w:rsid w:val="004B6B0F"/>
    <w:rsid w:val="004C014B"/>
    <w:rsid w:val="004C016B"/>
    <w:rsid w:val="004C0572"/>
    <w:rsid w:val="004C123A"/>
    <w:rsid w:val="004C1665"/>
    <w:rsid w:val="004C16F1"/>
    <w:rsid w:val="004C1D71"/>
    <w:rsid w:val="004C232E"/>
    <w:rsid w:val="004C470F"/>
    <w:rsid w:val="004C48ED"/>
    <w:rsid w:val="004C4D1A"/>
    <w:rsid w:val="004C54E5"/>
    <w:rsid w:val="004C59EE"/>
    <w:rsid w:val="004C5D23"/>
    <w:rsid w:val="004C67C1"/>
    <w:rsid w:val="004C7806"/>
    <w:rsid w:val="004C7DC8"/>
    <w:rsid w:val="004D07FA"/>
    <w:rsid w:val="004D0B0B"/>
    <w:rsid w:val="004D0F1A"/>
    <w:rsid w:val="004D1464"/>
    <w:rsid w:val="004D21B0"/>
    <w:rsid w:val="004D23AC"/>
    <w:rsid w:val="004D3121"/>
    <w:rsid w:val="004D47C1"/>
    <w:rsid w:val="004D4C90"/>
    <w:rsid w:val="004D4D66"/>
    <w:rsid w:val="004D4E21"/>
    <w:rsid w:val="004D737D"/>
    <w:rsid w:val="004D7830"/>
    <w:rsid w:val="004D7F0A"/>
    <w:rsid w:val="004E08DC"/>
    <w:rsid w:val="004E0CEB"/>
    <w:rsid w:val="004E2659"/>
    <w:rsid w:val="004E2BD2"/>
    <w:rsid w:val="004E2C0A"/>
    <w:rsid w:val="004E348C"/>
    <w:rsid w:val="004E39EE"/>
    <w:rsid w:val="004E453C"/>
    <w:rsid w:val="004E475C"/>
    <w:rsid w:val="004E4B84"/>
    <w:rsid w:val="004E56E0"/>
    <w:rsid w:val="004E5A84"/>
    <w:rsid w:val="004E5D3F"/>
    <w:rsid w:val="004E5F16"/>
    <w:rsid w:val="004E6463"/>
    <w:rsid w:val="004E6576"/>
    <w:rsid w:val="004E7329"/>
    <w:rsid w:val="004E7CBE"/>
    <w:rsid w:val="004F016D"/>
    <w:rsid w:val="004F0F05"/>
    <w:rsid w:val="004F1C76"/>
    <w:rsid w:val="004F2399"/>
    <w:rsid w:val="004F2CB0"/>
    <w:rsid w:val="004F3A50"/>
    <w:rsid w:val="004F3C9D"/>
    <w:rsid w:val="004F5189"/>
    <w:rsid w:val="004F5AC7"/>
    <w:rsid w:val="004F5CED"/>
    <w:rsid w:val="004F6DDD"/>
    <w:rsid w:val="004F6E24"/>
    <w:rsid w:val="005017F7"/>
    <w:rsid w:val="00501E41"/>
    <w:rsid w:val="00501FA7"/>
    <w:rsid w:val="005034DC"/>
    <w:rsid w:val="00503762"/>
    <w:rsid w:val="00504E28"/>
    <w:rsid w:val="00504FF1"/>
    <w:rsid w:val="00505BFA"/>
    <w:rsid w:val="005071B4"/>
    <w:rsid w:val="00507687"/>
    <w:rsid w:val="005078F9"/>
    <w:rsid w:val="00510F45"/>
    <w:rsid w:val="00511651"/>
    <w:rsid w:val="005117A9"/>
    <w:rsid w:val="00511C34"/>
    <w:rsid w:val="00511F57"/>
    <w:rsid w:val="00512A84"/>
    <w:rsid w:val="0051492F"/>
    <w:rsid w:val="005157FE"/>
    <w:rsid w:val="00515CBE"/>
    <w:rsid w:val="00515E2B"/>
    <w:rsid w:val="00516E8F"/>
    <w:rsid w:val="00520393"/>
    <w:rsid w:val="005206A6"/>
    <w:rsid w:val="00520E36"/>
    <w:rsid w:val="00522A7E"/>
    <w:rsid w:val="00522AFD"/>
    <w:rsid w:val="00522EF5"/>
    <w:rsid w:val="00522F20"/>
    <w:rsid w:val="005238F3"/>
    <w:rsid w:val="0052494E"/>
    <w:rsid w:val="00524A66"/>
    <w:rsid w:val="00525341"/>
    <w:rsid w:val="00525353"/>
    <w:rsid w:val="00526424"/>
    <w:rsid w:val="0052712C"/>
    <w:rsid w:val="0052796F"/>
    <w:rsid w:val="00527EC2"/>
    <w:rsid w:val="005308DB"/>
    <w:rsid w:val="00530A2E"/>
    <w:rsid w:val="00530B47"/>
    <w:rsid w:val="00530FBE"/>
    <w:rsid w:val="00532296"/>
    <w:rsid w:val="00533159"/>
    <w:rsid w:val="005339DB"/>
    <w:rsid w:val="005346F7"/>
    <w:rsid w:val="00534C89"/>
    <w:rsid w:val="00535C6C"/>
    <w:rsid w:val="0053608D"/>
    <w:rsid w:val="00536316"/>
    <w:rsid w:val="00536AFC"/>
    <w:rsid w:val="005372AC"/>
    <w:rsid w:val="005375C1"/>
    <w:rsid w:val="00540725"/>
    <w:rsid w:val="00541573"/>
    <w:rsid w:val="00541B6C"/>
    <w:rsid w:val="00542576"/>
    <w:rsid w:val="00542B24"/>
    <w:rsid w:val="0054348A"/>
    <w:rsid w:val="00545432"/>
    <w:rsid w:val="00545F28"/>
    <w:rsid w:val="005478CD"/>
    <w:rsid w:val="00550450"/>
    <w:rsid w:val="00550D75"/>
    <w:rsid w:val="00552A57"/>
    <w:rsid w:val="005531CB"/>
    <w:rsid w:val="005539EF"/>
    <w:rsid w:val="00554376"/>
    <w:rsid w:val="00554796"/>
    <w:rsid w:val="00555620"/>
    <w:rsid w:val="005557C7"/>
    <w:rsid w:val="00557F25"/>
    <w:rsid w:val="0056119B"/>
    <w:rsid w:val="005616A6"/>
    <w:rsid w:val="00562429"/>
    <w:rsid w:val="0056245B"/>
    <w:rsid w:val="00564058"/>
    <w:rsid w:val="00567011"/>
    <w:rsid w:val="00567B63"/>
    <w:rsid w:val="005705DD"/>
    <w:rsid w:val="0057148D"/>
    <w:rsid w:val="00571777"/>
    <w:rsid w:val="00572098"/>
    <w:rsid w:val="0057259B"/>
    <w:rsid w:val="00572D8F"/>
    <w:rsid w:val="0057308E"/>
    <w:rsid w:val="00573800"/>
    <w:rsid w:val="005740A0"/>
    <w:rsid w:val="005748A2"/>
    <w:rsid w:val="005767B7"/>
    <w:rsid w:val="00576A8F"/>
    <w:rsid w:val="00576F48"/>
    <w:rsid w:val="00577654"/>
    <w:rsid w:val="00577AF2"/>
    <w:rsid w:val="00577F69"/>
    <w:rsid w:val="00580E8C"/>
    <w:rsid w:val="00580FF5"/>
    <w:rsid w:val="00581B7F"/>
    <w:rsid w:val="00581D38"/>
    <w:rsid w:val="005827A0"/>
    <w:rsid w:val="00582A0E"/>
    <w:rsid w:val="005844D5"/>
    <w:rsid w:val="0058519C"/>
    <w:rsid w:val="005853EF"/>
    <w:rsid w:val="005861CD"/>
    <w:rsid w:val="005879CF"/>
    <w:rsid w:val="00590149"/>
    <w:rsid w:val="00590372"/>
    <w:rsid w:val="005913EB"/>
    <w:rsid w:val="0059149A"/>
    <w:rsid w:val="005917A8"/>
    <w:rsid w:val="00591817"/>
    <w:rsid w:val="00591A51"/>
    <w:rsid w:val="005952BF"/>
    <w:rsid w:val="005954AF"/>
    <w:rsid w:val="005956EE"/>
    <w:rsid w:val="00596B18"/>
    <w:rsid w:val="00597D30"/>
    <w:rsid w:val="005A008B"/>
    <w:rsid w:val="005A01B6"/>
    <w:rsid w:val="005A04C5"/>
    <w:rsid w:val="005A0527"/>
    <w:rsid w:val="005A083E"/>
    <w:rsid w:val="005A3CF5"/>
    <w:rsid w:val="005A44AD"/>
    <w:rsid w:val="005A459A"/>
    <w:rsid w:val="005A491F"/>
    <w:rsid w:val="005A636B"/>
    <w:rsid w:val="005A7349"/>
    <w:rsid w:val="005B062F"/>
    <w:rsid w:val="005B0821"/>
    <w:rsid w:val="005B3F8B"/>
    <w:rsid w:val="005B4642"/>
    <w:rsid w:val="005B4802"/>
    <w:rsid w:val="005B4D6A"/>
    <w:rsid w:val="005B4FBF"/>
    <w:rsid w:val="005B5008"/>
    <w:rsid w:val="005B58CB"/>
    <w:rsid w:val="005B6997"/>
    <w:rsid w:val="005B6FD3"/>
    <w:rsid w:val="005C07DD"/>
    <w:rsid w:val="005C1EA6"/>
    <w:rsid w:val="005C29AC"/>
    <w:rsid w:val="005C2C3A"/>
    <w:rsid w:val="005C386A"/>
    <w:rsid w:val="005C5341"/>
    <w:rsid w:val="005C5424"/>
    <w:rsid w:val="005C7E1C"/>
    <w:rsid w:val="005D0B99"/>
    <w:rsid w:val="005D308E"/>
    <w:rsid w:val="005D3A48"/>
    <w:rsid w:val="005D4582"/>
    <w:rsid w:val="005D4FD2"/>
    <w:rsid w:val="005D7436"/>
    <w:rsid w:val="005D7AF8"/>
    <w:rsid w:val="005E02BE"/>
    <w:rsid w:val="005E05EC"/>
    <w:rsid w:val="005E077A"/>
    <w:rsid w:val="005E129E"/>
    <w:rsid w:val="005E17BF"/>
    <w:rsid w:val="005E1BC3"/>
    <w:rsid w:val="005E366A"/>
    <w:rsid w:val="005E41FB"/>
    <w:rsid w:val="005E54A5"/>
    <w:rsid w:val="005E62C5"/>
    <w:rsid w:val="005F0D6A"/>
    <w:rsid w:val="005F1B47"/>
    <w:rsid w:val="005F2145"/>
    <w:rsid w:val="005F2F44"/>
    <w:rsid w:val="005F3977"/>
    <w:rsid w:val="005F486A"/>
    <w:rsid w:val="005F49D7"/>
    <w:rsid w:val="005F526D"/>
    <w:rsid w:val="005F5C70"/>
    <w:rsid w:val="005F5FFB"/>
    <w:rsid w:val="005F67BD"/>
    <w:rsid w:val="00600816"/>
    <w:rsid w:val="00601079"/>
    <w:rsid w:val="006016E1"/>
    <w:rsid w:val="00602D27"/>
    <w:rsid w:val="006032CB"/>
    <w:rsid w:val="00604345"/>
    <w:rsid w:val="006044F4"/>
    <w:rsid w:val="00604B1A"/>
    <w:rsid w:val="00605144"/>
    <w:rsid w:val="0060685D"/>
    <w:rsid w:val="00606EBB"/>
    <w:rsid w:val="00610B99"/>
    <w:rsid w:val="006121E6"/>
    <w:rsid w:val="006125D4"/>
    <w:rsid w:val="006134CD"/>
    <w:rsid w:val="00613F9C"/>
    <w:rsid w:val="006144A1"/>
    <w:rsid w:val="006144B8"/>
    <w:rsid w:val="006153A1"/>
    <w:rsid w:val="00615EBB"/>
    <w:rsid w:val="00616096"/>
    <w:rsid w:val="006160A2"/>
    <w:rsid w:val="00616243"/>
    <w:rsid w:val="00616477"/>
    <w:rsid w:val="00616A6E"/>
    <w:rsid w:val="00620173"/>
    <w:rsid w:val="006228F8"/>
    <w:rsid w:val="006264CE"/>
    <w:rsid w:val="00626997"/>
    <w:rsid w:val="006278AF"/>
    <w:rsid w:val="00627AA4"/>
    <w:rsid w:val="00627D7D"/>
    <w:rsid w:val="006302AA"/>
    <w:rsid w:val="0063056B"/>
    <w:rsid w:val="00630C8C"/>
    <w:rsid w:val="00631418"/>
    <w:rsid w:val="00632D9F"/>
    <w:rsid w:val="00633393"/>
    <w:rsid w:val="00633657"/>
    <w:rsid w:val="00634257"/>
    <w:rsid w:val="006363BD"/>
    <w:rsid w:val="00636446"/>
    <w:rsid w:val="006374ED"/>
    <w:rsid w:val="00640719"/>
    <w:rsid w:val="00640EB6"/>
    <w:rsid w:val="006412DC"/>
    <w:rsid w:val="00642409"/>
    <w:rsid w:val="00642BC6"/>
    <w:rsid w:val="00642E4F"/>
    <w:rsid w:val="00643AAF"/>
    <w:rsid w:val="00643CA2"/>
    <w:rsid w:val="00643E17"/>
    <w:rsid w:val="00644790"/>
    <w:rsid w:val="006447A2"/>
    <w:rsid w:val="00645C0C"/>
    <w:rsid w:val="00647348"/>
    <w:rsid w:val="00647C78"/>
    <w:rsid w:val="00650199"/>
    <w:rsid w:val="006501AF"/>
    <w:rsid w:val="006508CB"/>
    <w:rsid w:val="00650DDE"/>
    <w:rsid w:val="00651616"/>
    <w:rsid w:val="006520B7"/>
    <w:rsid w:val="0065505B"/>
    <w:rsid w:val="00655520"/>
    <w:rsid w:val="006565C8"/>
    <w:rsid w:val="006572C4"/>
    <w:rsid w:val="00661CD0"/>
    <w:rsid w:val="00662DCF"/>
    <w:rsid w:val="00663585"/>
    <w:rsid w:val="00663AA0"/>
    <w:rsid w:val="00664561"/>
    <w:rsid w:val="00665932"/>
    <w:rsid w:val="006665B1"/>
    <w:rsid w:val="00666B0F"/>
    <w:rsid w:val="006670AC"/>
    <w:rsid w:val="00667236"/>
    <w:rsid w:val="006704F2"/>
    <w:rsid w:val="00670CBC"/>
    <w:rsid w:val="006716EE"/>
    <w:rsid w:val="00671720"/>
    <w:rsid w:val="00671A04"/>
    <w:rsid w:val="00672068"/>
    <w:rsid w:val="00672280"/>
    <w:rsid w:val="00672307"/>
    <w:rsid w:val="00673179"/>
    <w:rsid w:val="00673D3B"/>
    <w:rsid w:val="00673DA5"/>
    <w:rsid w:val="00675F7D"/>
    <w:rsid w:val="00676D85"/>
    <w:rsid w:val="0067702D"/>
    <w:rsid w:val="00677044"/>
    <w:rsid w:val="006808C6"/>
    <w:rsid w:val="00682668"/>
    <w:rsid w:val="00682976"/>
    <w:rsid w:val="00683FB9"/>
    <w:rsid w:val="0068459C"/>
    <w:rsid w:val="006845CB"/>
    <w:rsid w:val="006849F9"/>
    <w:rsid w:val="0068680E"/>
    <w:rsid w:val="006868D4"/>
    <w:rsid w:val="006879CB"/>
    <w:rsid w:val="00687E9A"/>
    <w:rsid w:val="00690430"/>
    <w:rsid w:val="00690A71"/>
    <w:rsid w:val="006910AE"/>
    <w:rsid w:val="006921CF"/>
    <w:rsid w:val="00692735"/>
    <w:rsid w:val="00692A68"/>
    <w:rsid w:val="00694114"/>
    <w:rsid w:val="0069582A"/>
    <w:rsid w:val="00695D85"/>
    <w:rsid w:val="00697BC2"/>
    <w:rsid w:val="00697D87"/>
    <w:rsid w:val="006A0062"/>
    <w:rsid w:val="006A02A8"/>
    <w:rsid w:val="006A0C9C"/>
    <w:rsid w:val="006A0CF4"/>
    <w:rsid w:val="006A2DB0"/>
    <w:rsid w:val="006A30A2"/>
    <w:rsid w:val="006A4614"/>
    <w:rsid w:val="006A48B7"/>
    <w:rsid w:val="006A4FC4"/>
    <w:rsid w:val="006A564C"/>
    <w:rsid w:val="006A6D23"/>
    <w:rsid w:val="006B0ED9"/>
    <w:rsid w:val="006B1071"/>
    <w:rsid w:val="006B116C"/>
    <w:rsid w:val="006B1794"/>
    <w:rsid w:val="006B256A"/>
    <w:rsid w:val="006B25DE"/>
    <w:rsid w:val="006B4550"/>
    <w:rsid w:val="006B5153"/>
    <w:rsid w:val="006B67C0"/>
    <w:rsid w:val="006B7379"/>
    <w:rsid w:val="006C01E1"/>
    <w:rsid w:val="006C0761"/>
    <w:rsid w:val="006C0B2C"/>
    <w:rsid w:val="006C11B3"/>
    <w:rsid w:val="006C1C3B"/>
    <w:rsid w:val="006C27F7"/>
    <w:rsid w:val="006C2E34"/>
    <w:rsid w:val="006C4D26"/>
    <w:rsid w:val="006C4E43"/>
    <w:rsid w:val="006C643E"/>
    <w:rsid w:val="006C7A58"/>
    <w:rsid w:val="006D036B"/>
    <w:rsid w:val="006D0B2B"/>
    <w:rsid w:val="006D0E11"/>
    <w:rsid w:val="006D1E6E"/>
    <w:rsid w:val="006D2932"/>
    <w:rsid w:val="006D3671"/>
    <w:rsid w:val="006D4176"/>
    <w:rsid w:val="006D5CC1"/>
    <w:rsid w:val="006E0A73"/>
    <w:rsid w:val="006E0FEE"/>
    <w:rsid w:val="006E123E"/>
    <w:rsid w:val="006E15CC"/>
    <w:rsid w:val="006E339A"/>
    <w:rsid w:val="006E4372"/>
    <w:rsid w:val="006E6242"/>
    <w:rsid w:val="006E67F5"/>
    <w:rsid w:val="006E6C11"/>
    <w:rsid w:val="006E7D99"/>
    <w:rsid w:val="006F0E7F"/>
    <w:rsid w:val="006F2F86"/>
    <w:rsid w:val="006F2FF5"/>
    <w:rsid w:val="006F4A6B"/>
    <w:rsid w:val="006F4DC0"/>
    <w:rsid w:val="006F56D5"/>
    <w:rsid w:val="006F5DC6"/>
    <w:rsid w:val="006F6A9F"/>
    <w:rsid w:val="006F7C0C"/>
    <w:rsid w:val="00700501"/>
    <w:rsid w:val="00700755"/>
    <w:rsid w:val="00700F25"/>
    <w:rsid w:val="007036CA"/>
    <w:rsid w:val="00703F00"/>
    <w:rsid w:val="0070497A"/>
    <w:rsid w:val="0070646B"/>
    <w:rsid w:val="00710CF5"/>
    <w:rsid w:val="00711BD1"/>
    <w:rsid w:val="00711E05"/>
    <w:rsid w:val="00711EF2"/>
    <w:rsid w:val="00712F3B"/>
    <w:rsid w:val="007130A2"/>
    <w:rsid w:val="0071348C"/>
    <w:rsid w:val="0071534F"/>
    <w:rsid w:val="00715463"/>
    <w:rsid w:val="00715CB6"/>
    <w:rsid w:val="007162BF"/>
    <w:rsid w:val="00716A30"/>
    <w:rsid w:val="007172EA"/>
    <w:rsid w:val="00717C7B"/>
    <w:rsid w:val="0072124D"/>
    <w:rsid w:val="007224DE"/>
    <w:rsid w:val="0072282C"/>
    <w:rsid w:val="00722BC5"/>
    <w:rsid w:val="00723673"/>
    <w:rsid w:val="0072385D"/>
    <w:rsid w:val="00723CC4"/>
    <w:rsid w:val="00724056"/>
    <w:rsid w:val="007248ED"/>
    <w:rsid w:val="00725FF7"/>
    <w:rsid w:val="00727EE2"/>
    <w:rsid w:val="00727FB0"/>
    <w:rsid w:val="00730655"/>
    <w:rsid w:val="007306D1"/>
    <w:rsid w:val="00731D77"/>
    <w:rsid w:val="00732360"/>
    <w:rsid w:val="00732987"/>
    <w:rsid w:val="0073390A"/>
    <w:rsid w:val="00733B94"/>
    <w:rsid w:val="00734E64"/>
    <w:rsid w:val="00735689"/>
    <w:rsid w:val="00736B37"/>
    <w:rsid w:val="00737146"/>
    <w:rsid w:val="00740253"/>
    <w:rsid w:val="00740A35"/>
    <w:rsid w:val="00740A5F"/>
    <w:rsid w:val="0074188D"/>
    <w:rsid w:val="007445CB"/>
    <w:rsid w:val="00750ABA"/>
    <w:rsid w:val="007520B4"/>
    <w:rsid w:val="00753B74"/>
    <w:rsid w:val="0075539E"/>
    <w:rsid w:val="0075783C"/>
    <w:rsid w:val="00760CB5"/>
    <w:rsid w:val="007619E9"/>
    <w:rsid w:val="007624D6"/>
    <w:rsid w:val="0076556A"/>
    <w:rsid w:val="007655D5"/>
    <w:rsid w:val="00765B71"/>
    <w:rsid w:val="00765E21"/>
    <w:rsid w:val="007660A7"/>
    <w:rsid w:val="007666B3"/>
    <w:rsid w:val="00767008"/>
    <w:rsid w:val="007678B3"/>
    <w:rsid w:val="00767BA2"/>
    <w:rsid w:val="007733C1"/>
    <w:rsid w:val="00774431"/>
    <w:rsid w:val="00774AED"/>
    <w:rsid w:val="00775B01"/>
    <w:rsid w:val="007763C1"/>
    <w:rsid w:val="00776512"/>
    <w:rsid w:val="00776FC1"/>
    <w:rsid w:val="007775FD"/>
    <w:rsid w:val="00777DBC"/>
    <w:rsid w:val="00777E82"/>
    <w:rsid w:val="007807A5"/>
    <w:rsid w:val="00781359"/>
    <w:rsid w:val="007822DC"/>
    <w:rsid w:val="00782EE6"/>
    <w:rsid w:val="0078387C"/>
    <w:rsid w:val="00784768"/>
    <w:rsid w:val="00785FED"/>
    <w:rsid w:val="00786921"/>
    <w:rsid w:val="007873C7"/>
    <w:rsid w:val="00787592"/>
    <w:rsid w:val="00792FF7"/>
    <w:rsid w:val="007938CE"/>
    <w:rsid w:val="00793988"/>
    <w:rsid w:val="007959EB"/>
    <w:rsid w:val="007969A8"/>
    <w:rsid w:val="00797831"/>
    <w:rsid w:val="007A1173"/>
    <w:rsid w:val="007A1EAA"/>
    <w:rsid w:val="007A1EC4"/>
    <w:rsid w:val="007A3C23"/>
    <w:rsid w:val="007A49B7"/>
    <w:rsid w:val="007A59EE"/>
    <w:rsid w:val="007A5ED6"/>
    <w:rsid w:val="007A61A4"/>
    <w:rsid w:val="007A6632"/>
    <w:rsid w:val="007A6D15"/>
    <w:rsid w:val="007A7708"/>
    <w:rsid w:val="007A79FD"/>
    <w:rsid w:val="007A7B74"/>
    <w:rsid w:val="007A7BD8"/>
    <w:rsid w:val="007B0B9D"/>
    <w:rsid w:val="007B0BB2"/>
    <w:rsid w:val="007B10FB"/>
    <w:rsid w:val="007B26E3"/>
    <w:rsid w:val="007B3130"/>
    <w:rsid w:val="007B4484"/>
    <w:rsid w:val="007B44CF"/>
    <w:rsid w:val="007B4748"/>
    <w:rsid w:val="007B4C7B"/>
    <w:rsid w:val="007B52BE"/>
    <w:rsid w:val="007B5A43"/>
    <w:rsid w:val="007B65F6"/>
    <w:rsid w:val="007B709B"/>
    <w:rsid w:val="007C1343"/>
    <w:rsid w:val="007C282D"/>
    <w:rsid w:val="007C2BA9"/>
    <w:rsid w:val="007C3DE2"/>
    <w:rsid w:val="007C3E6F"/>
    <w:rsid w:val="007C5289"/>
    <w:rsid w:val="007C5EF1"/>
    <w:rsid w:val="007C7BF5"/>
    <w:rsid w:val="007D0B30"/>
    <w:rsid w:val="007D106D"/>
    <w:rsid w:val="007D19B7"/>
    <w:rsid w:val="007D554C"/>
    <w:rsid w:val="007D66AB"/>
    <w:rsid w:val="007D72C3"/>
    <w:rsid w:val="007D75E5"/>
    <w:rsid w:val="007D773E"/>
    <w:rsid w:val="007E023A"/>
    <w:rsid w:val="007E066E"/>
    <w:rsid w:val="007E0A1B"/>
    <w:rsid w:val="007E113A"/>
    <w:rsid w:val="007E1356"/>
    <w:rsid w:val="007E20FC"/>
    <w:rsid w:val="007E4D7E"/>
    <w:rsid w:val="007E545F"/>
    <w:rsid w:val="007E67FB"/>
    <w:rsid w:val="007E68EA"/>
    <w:rsid w:val="007E6C27"/>
    <w:rsid w:val="007E7062"/>
    <w:rsid w:val="007F06C0"/>
    <w:rsid w:val="007F0E1E"/>
    <w:rsid w:val="007F11B1"/>
    <w:rsid w:val="007F24FD"/>
    <w:rsid w:val="007F29A7"/>
    <w:rsid w:val="007F3EC4"/>
    <w:rsid w:val="007F51B2"/>
    <w:rsid w:val="007F5588"/>
    <w:rsid w:val="007F61D1"/>
    <w:rsid w:val="007F660F"/>
    <w:rsid w:val="007F7D3F"/>
    <w:rsid w:val="00800035"/>
    <w:rsid w:val="008004B4"/>
    <w:rsid w:val="00803C5C"/>
    <w:rsid w:val="00803E4F"/>
    <w:rsid w:val="008044D5"/>
    <w:rsid w:val="0080453F"/>
    <w:rsid w:val="00805BE8"/>
    <w:rsid w:val="00806DD1"/>
    <w:rsid w:val="0080771A"/>
    <w:rsid w:val="0081060A"/>
    <w:rsid w:val="00810C6D"/>
    <w:rsid w:val="00811047"/>
    <w:rsid w:val="00812A86"/>
    <w:rsid w:val="00814915"/>
    <w:rsid w:val="00816078"/>
    <w:rsid w:val="00816E82"/>
    <w:rsid w:val="008177E3"/>
    <w:rsid w:val="00822658"/>
    <w:rsid w:val="0082357E"/>
    <w:rsid w:val="008235AE"/>
    <w:rsid w:val="00823AA9"/>
    <w:rsid w:val="0082431E"/>
    <w:rsid w:val="008255B9"/>
    <w:rsid w:val="008259FE"/>
    <w:rsid w:val="00825CD8"/>
    <w:rsid w:val="00827324"/>
    <w:rsid w:val="0083007E"/>
    <w:rsid w:val="008304F7"/>
    <w:rsid w:val="00830516"/>
    <w:rsid w:val="00830CF2"/>
    <w:rsid w:val="00831113"/>
    <w:rsid w:val="00831BC0"/>
    <w:rsid w:val="00831FA1"/>
    <w:rsid w:val="0083261C"/>
    <w:rsid w:val="0083276B"/>
    <w:rsid w:val="00833F0D"/>
    <w:rsid w:val="008345D5"/>
    <w:rsid w:val="008351FA"/>
    <w:rsid w:val="00835625"/>
    <w:rsid w:val="008358DA"/>
    <w:rsid w:val="008361B2"/>
    <w:rsid w:val="00836E60"/>
    <w:rsid w:val="00837458"/>
    <w:rsid w:val="00837AAE"/>
    <w:rsid w:val="008405F0"/>
    <w:rsid w:val="0084073E"/>
    <w:rsid w:val="008429AD"/>
    <w:rsid w:val="008429DB"/>
    <w:rsid w:val="0084400D"/>
    <w:rsid w:val="0084468B"/>
    <w:rsid w:val="00845ACB"/>
    <w:rsid w:val="00846614"/>
    <w:rsid w:val="00846925"/>
    <w:rsid w:val="00850B87"/>
    <w:rsid w:val="00850C75"/>
    <w:rsid w:val="00850E39"/>
    <w:rsid w:val="0085186E"/>
    <w:rsid w:val="00852EBD"/>
    <w:rsid w:val="00853190"/>
    <w:rsid w:val="0085477A"/>
    <w:rsid w:val="00854ECB"/>
    <w:rsid w:val="00855107"/>
    <w:rsid w:val="0085512F"/>
    <w:rsid w:val="00855173"/>
    <w:rsid w:val="008557D9"/>
    <w:rsid w:val="00855AF1"/>
    <w:rsid w:val="00855BF7"/>
    <w:rsid w:val="00856214"/>
    <w:rsid w:val="0085679E"/>
    <w:rsid w:val="00857907"/>
    <w:rsid w:val="00860314"/>
    <w:rsid w:val="00860E97"/>
    <w:rsid w:val="00861FC3"/>
    <w:rsid w:val="00862089"/>
    <w:rsid w:val="00862279"/>
    <w:rsid w:val="00862D34"/>
    <w:rsid w:val="00863DE6"/>
    <w:rsid w:val="00864692"/>
    <w:rsid w:val="008649B9"/>
    <w:rsid w:val="00864BF2"/>
    <w:rsid w:val="00864EBD"/>
    <w:rsid w:val="008651B7"/>
    <w:rsid w:val="00865E98"/>
    <w:rsid w:val="00866702"/>
    <w:rsid w:val="00866A81"/>
    <w:rsid w:val="00866D5B"/>
    <w:rsid w:val="00866FF5"/>
    <w:rsid w:val="00870098"/>
    <w:rsid w:val="008715D3"/>
    <w:rsid w:val="00871C34"/>
    <w:rsid w:val="0087292B"/>
    <w:rsid w:val="0087332D"/>
    <w:rsid w:val="0087364D"/>
    <w:rsid w:val="00873E1F"/>
    <w:rsid w:val="00874C16"/>
    <w:rsid w:val="008807FD"/>
    <w:rsid w:val="00881183"/>
    <w:rsid w:val="00883492"/>
    <w:rsid w:val="008835CB"/>
    <w:rsid w:val="0088452F"/>
    <w:rsid w:val="00884AC7"/>
    <w:rsid w:val="00884E23"/>
    <w:rsid w:val="0088676E"/>
    <w:rsid w:val="00886D1F"/>
    <w:rsid w:val="00891C8A"/>
    <w:rsid w:val="00891EE1"/>
    <w:rsid w:val="0089248B"/>
    <w:rsid w:val="00893987"/>
    <w:rsid w:val="00895DFE"/>
    <w:rsid w:val="00895EE2"/>
    <w:rsid w:val="008963EF"/>
    <w:rsid w:val="0089688E"/>
    <w:rsid w:val="008A0315"/>
    <w:rsid w:val="008A035B"/>
    <w:rsid w:val="008A0CED"/>
    <w:rsid w:val="008A1FBE"/>
    <w:rsid w:val="008A2720"/>
    <w:rsid w:val="008A2793"/>
    <w:rsid w:val="008A2FF0"/>
    <w:rsid w:val="008A7093"/>
    <w:rsid w:val="008A7A31"/>
    <w:rsid w:val="008A7D12"/>
    <w:rsid w:val="008B055F"/>
    <w:rsid w:val="008B0603"/>
    <w:rsid w:val="008B0C6A"/>
    <w:rsid w:val="008B1323"/>
    <w:rsid w:val="008B156C"/>
    <w:rsid w:val="008B1CE9"/>
    <w:rsid w:val="008B2049"/>
    <w:rsid w:val="008B24FB"/>
    <w:rsid w:val="008B2ED3"/>
    <w:rsid w:val="008B3194"/>
    <w:rsid w:val="008B5AE7"/>
    <w:rsid w:val="008B609B"/>
    <w:rsid w:val="008C007F"/>
    <w:rsid w:val="008C0606"/>
    <w:rsid w:val="008C10EC"/>
    <w:rsid w:val="008C1A8B"/>
    <w:rsid w:val="008C29C5"/>
    <w:rsid w:val="008C37DF"/>
    <w:rsid w:val="008C60E9"/>
    <w:rsid w:val="008C6BCC"/>
    <w:rsid w:val="008C6EC0"/>
    <w:rsid w:val="008C7D47"/>
    <w:rsid w:val="008D0EB5"/>
    <w:rsid w:val="008D106F"/>
    <w:rsid w:val="008D1596"/>
    <w:rsid w:val="008D1B03"/>
    <w:rsid w:val="008D1B7C"/>
    <w:rsid w:val="008D200E"/>
    <w:rsid w:val="008D2D67"/>
    <w:rsid w:val="008D33DE"/>
    <w:rsid w:val="008D3ABD"/>
    <w:rsid w:val="008D55E9"/>
    <w:rsid w:val="008D6657"/>
    <w:rsid w:val="008D6A5B"/>
    <w:rsid w:val="008D6CF4"/>
    <w:rsid w:val="008D7949"/>
    <w:rsid w:val="008E0031"/>
    <w:rsid w:val="008E0215"/>
    <w:rsid w:val="008E157C"/>
    <w:rsid w:val="008E1F60"/>
    <w:rsid w:val="008E2D37"/>
    <w:rsid w:val="008E307E"/>
    <w:rsid w:val="008E4588"/>
    <w:rsid w:val="008E471E"/>
    <w:rsid w:val="008E5084"/>
    <w:rsid w:val="008E51E4"/>
    <w:rsid w:val="008E531E"/>
    <w:rsid w:val="008F28F4"/>
    <w:rsid w:val="008F2F09"/>
    <w:rsid w:val="008F357C"/>
    <w:rsid w:val="008F3C4C"/>
    <w:rsid w:val="008F4DD1"/>
    <w:rsid w:val="008F6056"/>
    <w:rsid w:val="008F64E6"/>
    <w:rsid w:val="008F6873"/>
    <w:rsid w:val="009010E8"/>
    <w:rsid w:val="00901B6A"/>
    <w:rsid w:val="00901E66"/>
    <w:rsid w:val="009023FE"/>
    <w:rsid w:val="009026DF"/>
    <w:rsid w:val="00902C07"/>
    <w:rsid w:val="00904964"/>
    <w:rsid w:val="00904CFA"/>
    <w:rsid w:val="00905804"/>
    <w:rsid w:val="00907084"/>
    <w:rsid w:val="009101E2"/>
    <w:rsid w:val="0091172A"/>
    <w:rsid w:val="00912277"/>
    <w:rsid w:val="00913780"/>
    <w:rsid w:val="00914FD5"/>
    <w:rsid w:val="00915908"/>
    <w:rsid w:val="00915D73"/>
    <w:rsid w:val="00916077"/>
    <w:rsid w:val="009161F7"/>
    <w:rsid w:val="009162AD"/>
    <w:rsid w:val="0091660E"/>
    <w:rsid w:val="009170A2"/>
    <w:rsid w:val="009206F3"/>
    <w:rsid w:val="00920749"/>
    <w:rsid w:val="009208A6"/>
    <w:rsid w:val="00920D6C"/>
    <w:rsid w:val="00920D76"/>
    <w:rsid w:val="009222A1"/>
    <w:rsid w:val="00922309"/>
    <w:rsid w:val="009233C8"/>
    <w:rsid w:val="0092380E"/>
    <w:rsid w:val="00924514"/>
    <w:rsid w:val="00927316"/>
    <w:rsid w:val="00930115"/>
    <w:rsid w:val="0093086C"/>
    <w:rsid w:val="0093133D"/>
    <w:rsid w:val="0093191C"/>
    <w:rsid w:val="0093276D"/>
    <w:rsid w:val="0093336E"/>
    <w:rsid w:val="00933D12"/>
    <w:rsid w:val="009363AC"/>
    <w:rsid w:val="009368E3"/>
    <w:rsid w:val="00936953"/>
    <w:rsid w:val="00937065"/>
    <w:rsid w:val="00940285"/>
    <w:rsid w:val="009415B0"/>
    <w:rsid w:val="00941D74"/>
    <w:rsid w:val="00942C1A"/>
    <w:rsid w:val="009430DC"/>
    <w:rsid w:val="00943170"/>
    <w:rsid w:val="0094417F"/>
    <w:rsid w:val="0094432A"/>
    <w:rsid w:val="009443B1"/>
    <w:rsid w:val="009447D3"/>
    <w:rsid w:val="00947DCD"/>
    <w:rsid w:val="00947E7E"/>
    <w:rsid w:val="0095139A"/>
    <w:rsid w:val="0095272B"/>
    <w:rsid w:val="00952798"/>
    <w:rsid w:val="00952D1A"/>
    <w:rsid w:val="00953E16"/>
    <w:rsid w:val="0095403A"/>
    <w:rsid w:val="009542AC"/>
    <w:rsid w:val="009552AE"/>
    <w:rsid w:val="009561C7"/>
    <w:rsid w:val="009569B1"/>
    <w:rsid w:val="00957305"/>
    <w:rsid w:val="00957612"/>
    <w:rsid w:val="00957F72"/>
    <w:rsid w:val="00961045"/>
    <w:rsid w:val="00961BB2"/>
    <w:rsid w:val="00962108"/>
    <w:rsid w:val="00962383"/>
    <w:rsid w:val="009637D4"/>
    <w:rsid w:val="009638D6"/>
    <w:rsid w:val="00964367"/>
    <w:rsid w:val="009649D8"/>
    <w:rsid w:val="009650A6"/>
    <w:rsid w:val="0096563B"/>
    <w:rsid w:val="009658B1"/>
    <w:rsid w:val="0096719E"/>
    <w:rsid w:val="00967904"/>
    <w:rsid w:val="0097366C"/>
    <w:rsid w:val="00973986"/>
    <w:rsid w:val="0097408E"/>
    <w:rsid w:val="00974A74"/>
    <w:rsid w:val="00974BB2"/>
    <w:rsid w:val="00974FA7"/>
    <w:rsid w:val="0097533E"/>
    <w:rsid w:val="009756E5"/>
    <w:rsid w:val="00975E52"/>
    <w:rsid w:val="0097643B"/>
    <w:rsid w:val="00976505"/>
    <w:rsid w:val="009778BE"/>
    <w:rsid w:val="00977A8C"/>
    <w:rsid w:val="009814CE"/>
    <w:rsid w:val="009820BF"/>
    <w:rsid w:val="00983910"/>
    <w:rsid w:val="00984F13"/>
    <w:rsid w:val="00985549"/>
    <w:rsid w:val="00985C78"/>
    <w:rsid w:val="00986143"/>
    <w:rsid w:val="00987B37"/>
    <w:rsid w:val="00990588"/>
    <w:rsid w:val="009905F6"/>
    <w:rsid w:val="00991381"/>
    <w:rsid w:val="00992F55"/>
    <w:rsid w:val="009932AC"/>
    <w:rsid w:val="00994351"/>
    <w:rsid w:val="00994BB8"/>
    <w:rsid w:val="00995097"/>
    <w:rsid w:val="00996A8F"/>
    <w:rsid w:val="009A0F02"/>
    <w:rsid w:val="009A179C"/>
    <w:rsid w:val="009A1DBF"/>
    <w:rsid w:val="009A27F3"/>
    <w:rsid w:val="009A375A"/>
    <w:rsid w:val="009A4DAA"/>
    <w:rsid w:val="009A5EFC"/>
    <w:rsid w:val="009A68E6"/>
    <w:rsid w:val="009A6A95"/>
    <w:rsid w:val="009A7598"/>
    <w:rsid w:val="009B1995"/>
    <w:rsid w:val="009B1DF8"/>
    <w:rsid w:val="009B3D20"/>
    <w:rsid w:val="009B3E17"/>
    <w:rsid w:val="009B40ED"/>
    <w:rsid w:val="009B4325"/>
    <w:rsid w:val="009B5418"/>
    <w:rsid w:val="009B57E9"/>
    <w:rsid w:val="009B613A"/>
    <w:rsid w:val="009B7071"/>
    <w:rsid w:val="009B7B1B"/>
    <w:rsid w:val="009B7E78"/>
    <w:rsid w:val="009C0727"/>
    <w:rsid w:val="009C0ED4"/>
    <w:rsid w:val="009C3C80"/>
    <w:rsid w:val="009C3EE3"/>
    <w:rsid w:val="009C451B"/>
    <w:rsid w:val="009C458D"/>
    <w:rsid w:val="009C492F"/>
    <w:rsid w:val="009C4D7E"/>
    <w:rsid w:val="009C53FD"/>
    <w:rsid w:val="009C5549"/>
    <w:rsid w:val="009C5B21"/>
    <w:rsid w:val="009C6DC8"/>
    <w:rsid w:val="009C77F5"/>
    <w:rsid w:val="009D0228"/>
    <w:rsid w:val="009D02E3"/>
    <w:rsid w:val="009D1CED"/>
    <w:rsid w:val="009D20B6"/>
    <w:rsid w:val="009D2637"/>
    <w:rsid w:val="009D2FF2"/>
    <w:rsid w:val="009D3226"/>
    <w:rsid w:val="009D3385"/>
    <w:rsid w:val="009D454B"/>
    <w:rsid w:val="009D456B"/>
    <w:rsid w:val="009D4FC7"/>
    <w:rsid w:val="009D5C13"/>
    <w:rsid w:val="009D6396"/>
    <w:rsid w:val="009D67D1"/>
    <w:rsid w:val="009D68BA"/>
    <w:rsid w:val="009D68C8"/>
    <w:rsid w:val="009D7080"/>
    <w:rsid w:val="009D7159"/>
    <w:rsid w:val="009D793C"/>
    <w:rsid w:val="009E11A8"/>
    <w:rsid w:val="009E16A9"/>
    <w:rsid w:val="009E1703"/>
    <w:rsid w:val="009E1D91"/>
    <w:rsid w:val="009E375F"/>
    <w:rsid w:val="009E3859"/>
    <w:rsid w:val="009E39D4"/>
    <w:rsid w:val="009E433B"/>
    <w:rsid w:val="009E47E3"/>
    <w:rsid w:val="009E5401"/>
    <w:rsid w:val="009E5B51"/>
    <w:rsid w:val="009E5F68"/>
    <w:rsid w:val="009F0A34"/>
    <w:rsid w:val="009F1009"/>
    <w:rsid w:val="009F1E1B"/>
    <w:rsid w:val="009F2238"/>
    <w:rsid w:val="009F3A18"/>
    <w:rsid w:val="009F3D0E"/>
    <w:rsid w:val="009F3DAC"/>
    <w:rsid w:val="009F5518"/>
    <w:rsid w:val="00A0088D"/>
    <w:rsid w:val="00A01A70"/>
    <w:rsid w:val="00A02C9C"/>
    <w:rsid w:val="00A030B5"/>
    <w:rsid w:val="00A0641B"/>
    <w:rsid w:val="00A064D8"/>
    <w:rsid w:val="00A06C90"/>
    <w:rsid w:val="00A0758F"/>
    <w:rsid w:val="00A10C39"/>
    <w:rsid w:val="00A10E54"/>
    <w:rsid w:val="00A114DD"/>
    <w:rsid w:val="00A11801"/>
    <w:rsid w:val="00A11A82"/>
    <w:rsid w:val="00A12900"/>
    <w:rsid w:val="00A14DCD"/>
    <w:rsid w:val="00A15222"/>
    <w:rsid w:val="00A1570A"/>
    <w:rsid w:val="00A211B4"/>
    <w:rsid w:val="00A222E7"/>
    <w:rsid w:val="00A22720"/>
    <w:rsid w:val="00A24AEA"/>
    <w:rsid w:val="00A31092"/>
    <w:rsid w:val="00A31473"/>
    <w:rsid w:val="00A3220E"/>
    <w:rsid w:val="00A32ED7"/>
    <w:rsid w:val="00A33DDF"/>
    <w:rsid w:val="00A3411E"/>
    <w:rsid w:val="00A34547"/>
    <w:rsid w:val="00A351C1"/>
    <w:rsid w:val="00A36B69"/>
    <w:rsid w:val="00A376B7"/>
    <w:rsid w:val="00A37B0E"/>
    <w:rsid w:val="00A4031A"/>
    <w:rsid w:val="00A407A7"/>
    <w:rsid w:val="00A41BF5"/>
    <w:rsid w:val="00A42A86"/>
    <w:rsid w:val="00A42DC5"/>
    <w:rsid w:val="00A43206"/>
    <w:rsid w:val="00A4329A"/>
    <w:rsid w:val="00A44778"/>
    <w:rsid w:val="00A44A2A"/>
    <w:rsid w:val="00A44E84"/>
    <w:rsid w:val="00A469E7"/>
    <w:rsid w:val="00A47752"/>
    <w:rsid w:val="00A4790F"/>
    <w:rsid w:val="00A50D77"/>
    <w:rsid w:val="00A51488"/>
    <w:rsid w:val="00A517EC"/>
    <w:rsid w:val="00A51DBD"/>
    <w:rsid w:val="00A534A3"/>
    <w:rsid w:val="00A54165"/>
    <w:rsid w:val="00A548D8"/>
    <w:rsid w:val="00A54FEC"/>
    <w:rsid w:val="00A55E2F"/>
    <w:rsid w:val="00A562A4"/>
    <w:rsid w:val="00A577CE"/>
    <w:rsid w:val="00A604A4"/>
    <w:rsid w:val="00A61392"/>
    <w:rsid w:val="00A61823"/>
    <w:rsid w:val="00A61B7D"/>
    <w:rsid w:val="00A6469D"/>
    <w:rsid w:val="00A647A2"/>
    <w:rsid w:val="00A654B9"/>
    <w:rsid w:val="00A6605B"/>
    <w:rsid w:val="00A667B1"/>
    <w:rsid w:val="00A66ADC"/>
    <w:rsid w:val="00A67098"/>
    <w:rsid w:val="00A7057A"/>
    <w:rsid w:val="00A7092B"/>
    <w:rsid w:val="00A7147D"/>
    <w:rsid w:val="00A741DF"/>
    <w:rsid w:val="00A74727"/>
    <w:rsid w:val="00A75037"/>
    <w:rsid w:val="00A80382"/>
    <w:rsid w:val="00A80400"/>
    <w:rsid w:val="00A81B15"/>
    <w:rsid w:val="00A837FF"/>
    <w:rsid w:val="00A84A35"/>
    <w:rsid w:val="00A84DC8"/>
    <w:rsid w:val="00A85DBC"/>
    <w:rsid w:val="00A870FE"/>
    <w:rsid w:val="00A87FEB"/>
    <w:rsid w:val="00A9194B"/>
    <w:rsid w:val="00A93079"/>
    <w:rsid w:val="00A93715"/>
    <w:rsid w:val="00A93BE4"/>
    <w:rsid w:val="00A93C1C"/>
    <w:rsid w:val="00A93F9F"/>
    <w:rsid w:val="00A9420E"/>
    <w:rsid w:val="00A9424E"/>
    <w:rsid w:val="00A94A05"/>
    <w:rsid w:val="00A951A4"/>
    <w:rsid w:val="00A954ED"/>
    <w:rsid w:val="00A968DF"/>
    <w:rsid w:val="00A97648"/>
    <w:rsid w:val="00A976E3"/>
    <w:rsid w:val="00AA104E"/>
    <w:rsid w:val="00AA14DF"/>
    <w:rsid w:val="00AA1CFD"/>
    <w:rsid w:val="00AA2239"/>
    <w:rsid w:val="00AA33D2"/>
    <w:rsid w:val="00AA34A2"/>
    <w:rsid w:val="00AA3F84"/>
    <w:rsid w:val="00AA4D7B"/>
    <w:rsid w:val="00AA5394"/>
    <w:rsid w:val="00AA55AE"/>
    <w:rsid w:val="00AA5C37"/>
    <w:rsid w:val="00AA6266"/>
    <w:rsid w:val="00AA69B7"/>
    <w:rsid w:val="00AA7B92"/>
    <w:rsid w:val="00AA7F92"/>
    <w:rsid w:val="00AB0C57"/>
    <w:rsid w:val="00AB0F03"/>
    <w:rsid w:val="00AB1195"/>
    <w:rsid w:val="00AB190E"/>
    <w:rsid w:val="00AB1D34"/>
    <w:rsid w:val="00AB4132"/>
    <w:rsid w:val="00AB4182"/>
    <w:rsid w:val="00AB43A0"/>
    <w:rsid w:val="00AB5C9D"/>
    <w:rsid w:val="00AB6745"/>
    <w:rsid w:val="00AC0263"/>
    <w:rsid w:val="00AC27DB"/>
    <w:rsid w:val="00AC283F"/>
    <w:rsid w:val="00AC2BEC"/>
    <w:rsid w:val="00AC2CAC"/>
    <w:rsid w:val="00AC33A1"/>
    <w:rsid w:val="00AC355E"/>
    <w:rsid w:val="00AC4347"/>
    <w:rsid w:val="00AC6D6B"/>
    <w:rsid w:val="00AD0A83"/>
    <w:rsid w:val="00AD0AF0"/>
    <w:rsid w:val="00AD0F77"/>
    <w:rsid w:val="00AD2445"/>
    <w:rsid w:val="00AD264E"/>
    <w:rsid w:val="00AD2A5D"/>
    <w:rsid w:val="00AD5503"/>
    <w:rsid w:val="00AD5B47"/>
    <w:rsid w:val="00AD7440"/>
    <w:rsid w:val="00AD7736"/>
    <w:rsid w:val="00AD79B4"/>
    <w:rsid w:val="00AE08C5"/>
    <w:rsid w:val="00AE0E02"/>
    <w:rsid w:val="00AE10B4"/>
    <w:rsid w:val="00AE10CE"/>
    <w:rsid w:val="00AE1300"/>
    <w:rsid w:val="00AE21C3"/>
    <w:rsid w:val="00AE25A2"/>
    <w:rsid w:val="00AE42A6"/>
    <w:rsid w:val="00AE447B"/>
    <w:rsid w:val="00AE474F"/>
    <w:rsid w:val="00AE47E3"/>
    <w:rsid w:val="00AE5665"/>
    <w:rsid w:val="00AE6068"/>
    <w:rsid w:val="00AE67D0"/>
    <w:rsid w:val="00AE70D4"/>
    <w:rsid w:val="00AE7126"/>
    <w:rsid w:val="00AE7868"/>
    <w:rsid w:val="00AE7B8B"/>
    <w:rsid w:val="00AF0407"/>
    <w:rsid w:val="00AF206C"/>
    <w:rsid w:val="00AF287F"/>
    <w:rsid w:val="00AF38A1"/>
    <w:rsid w:val="00AF43AD"/>
    <w:rsid w:val="00AF4AF9"/>
    <w:rsid w:val="00AF4D8B"/>
    <w:rsid w:val="00AF53CE"/>
    <w:rsid w:val="00AF723A"/>
    <w:rsid w:val="00B0099D"/>
    <w:rsid w:val="00B0175E"/>
    <w:rsid w:val="00B02026"/>
    <w:rsid w:val="00B025AD"/>
    <w:rsid w:val="00B03EF0"/>
    <w:rsid w:val="00B044E2"/>
    <w:rsid w:val="00B055CA"/>
    <w:rsid w:val="00B065B9"/>
    <w:rsid w:val="00B067CA"/>
    <w:rsid w:val="00B07D44"/>
    <w:rsid w:val="00B11026"/>
    <w:rsid w:val="00B1195A"/>
    <w:rsid w:val="00B128D4"/>
    <w:rsid w:val="00B12B26"/>
    <w:rsid w:val="00B12E69"/>
    <w:rsid w:val="00B12F78"/>
    <w:rsid w:val="00B13390"/>
    <w:rsid w:val="00B148F5"/>
    <w:rsid w:val="00B15199"/>
    <w:rsid w:val="00B1625C"/>
    <w:rsid w:val="00B162C7"/>
    <w:rsid w:val="00B163F8"/>
    <w:rsid w:val="00B17D08"/>
    <w:rsid w:val="00B17DB0"/>
    <w:rsid w:val="00B213C2"/>
    <w:rsid w:val="00B21BEC"/>
    <w:rsid w:val="00B2348B"/>
    <w:rsid w:val="00B23CF8"/>
    <w:rsid w:val="00B24711"/>
    <w:rsid w:val="00B2472D"/>
    <w:rsid w:val="00B24CA0"/>
    <w:rsid w:val="00B251D1"/>
    <w:rsid w:val="00B2549F"/>
    <w:rsid w:val="00B25CFF"/>
    <w:rsid w:val="00B27277"/>
    <w:rsid w:val="00B30BE3"/>
    <w:rsid w:val="00B3200E"/>
    <w:rsid w:val="00B32C7A"/>
    <w:rsid w:val="00B334F7"/>
    <w:rsid w:val="00B34ABD"/>
    <w:rsid w:val="00B353C2"/>
    <w:rsid w:val="00B35BE1"/>
    <w:rsid w:val="00B36725"/>
    <w:rsid w:val="00B370C2"/>
    <w:rsid w:val="00B373C1"/>
    <w:rsid w:val="00B3750C"/>
    <w:rsid w:val="00B37C86"/>
    <w:rsid w:val="00B37FD5"/>
    <w:rsid w:val="00B4069D"/>
    <w:rsid w:val="00B40953"/>
    <w:rsid w:val="00B41067"/>
    <w:rsid w:val="00B4108D"/>
    <w:rsid w:val="00B4223C"/>
    <w:rsid w:val="00B43372"/>
    <w:rsid w:val="00B4342E"/>
    <w:rsid w:val="00B43D0C"/>
    <w:rsid w:val="00B4418F"/>
    <w:rsid w:val="00B457B4"/>
    <w:rsid w:val="00B45B68"/>
    <w:rsid w:val="00B46ADC"/>
    <w:rsid w:val="00B50801"/>
    <w:rsid w:val="00B50D8C"/>
    <w:rsid w:val="00B523A6"/>
    <w:rsid w:val="00B529B5"/>
    <w:rsid w:val="00B53219"/>
    <w:rsid w:val="00B53BCD"/>
    <w:rsid w:val="00B57265"/>
    <w:rsid w:val="00B6012F"/>
    <w:rsid w:val="00B60A4D"/>
    <w:rsid w:val="00B61BDE"/>
    <w:rsid w:val="00B633AE"/>
    <w:rsid w:val="00B6353C"/>
    <w:rsid w:val="00B64816"/>
    <w:rsid w:val="00B64856"/>
    <w:rsid w:val="00B648D6"/>
    <w:rsid w:val="00B649C5"/>
    <w:rsid w:val="00B6597F"/>
    <w:rsid w:val="00B66070"/>
    <w:rsid w:val="00B665D2"/>
    <w:rsid w:val="00B66A9E"/>
    <w:rsid w:val="00B6737C"/>
    <w:rsid w:val="00B7214D"/>
    <w:rsid w:val="00B74347"/>
    <w:rsid w:val="00B74372"/>
    <w:rsid w:val="00B74CB7"/>
    <w:rsid w:val="00B75525"/>
    <w:rsid w:val="00B755BD"/>
    <w:rsid w:val="00B80283"/>
    <w:rsid w:val="00B8095F"/>
    <w:rsid w:val="00B80B0C"/>
    <w:rsid w:val="00B80B11"/>
    <w:rsid w:val="00B823FA"/>
    <w:rsid w:val="00B8251D"/>
    <w:rsid w:val="00B82DDA"/>
    <w:rsid w:val="00B831AE"/>
    <w:rsid w:val="00B840D1"/>
    <w:rsid w:val="00B841AD"/>
    <w:rsid w:val="00B8446C"/>
    <w:rsid w:val="00B84FAC"/>
    <w:rsid w:val="00B86102"/>
    <w:rsid w:val="00B869E5"/>
    <w:rsid w:val="00B86AC0"/>
    <w:rsid w:val="00B86F1E"/>
    <w:rsid w:val="00B8758B"/>
    <w:rsid w:val="00B87725"/>
    <w:rsid w:val="00B87CA2"/>
    <w:rsid w:val="00B91A3D"/>
    <w:rsid w:val="00B91B5F"/>
    <w:rsid w:val="00B9212C"/>
    <w:rsid w:val="00B9223A"/>
    <w:rsid w:val="00B949D8"/>
    <w:rsid w:val="00B94B66"/>
    <w:rsid w:val="00B96583"/>
    <w:rsid w:val="00B96BBA"/>
    <w:rsid w:val="00B97CDC"/>
    <w:rsid w:val="00BA0328"/>
    <w:rsid w:val="00BA0C4F"/>
    <w:rsid w:val="00BA12ED"/>
    <w:rsid w:val="00BA1893"/>
    <w:rsid w:val="00BA259A"/>
    <w:rsid w:val="00BA259C"/>
    <w:rsid w:val="00BA29D3"/>
    <w:rsid w:val="00BA307F"/>
    <w:rsid w:val="00BA473E"/>
    <w:rsid w:val="00BA4EE0"/>
    <w:rsid w:val="00BA5280"/>
    <w:rsid w:val="00BA5A56"/>
    <w:rsid w:val="00BA7139"/>
    <w:rsid w:val="00BA7C33"/>
    <w:rsid w:val="00BB14F1"/>
    <w:rsid w:val="00BB1BCC"/>
    <w:rsid w:val="00BB1C18"/>
    <w:rsid w:val="00BB2B45"/>
    <w:rsid w:val="00BB48C3"/>
    <w:rsid w:val="00BB572E"/>
    <w:rsid w:val="00BB5962"/>
    <w:rsid w:val="00BB59DE"/>
    <w:rsid w:val="00BB722E"/>
    <w:rsid w:val="00BB74FD"/>
    <w:rsid w:val="00BC0BE2"/>
    <w:rsid w:val="00BC1CE0"/>
    <w:rsid w:val="00BC2CB5"/>
    <w:rsid w:val="00BC2EB8"/>
    <w:rsid w:val="00BC39CB"/>
    <w:rsid w:val="00BC3F53"/>
    <w:rsid w:val="00BC4D5C"/>
    <w:rsid w:val="00BC555F"/>
    <w:rsid w:val="00BC5982"/>
    <w:rsid w:val="00BC60BF"/>
    <w:rsid w:val="00BC6508"/>
    <w:rsid w:val="00BC6E42"/>
    <w:rsid w:val="00BC7F0F"/>
    <w:rsid w:val="00BD0281"/>
    <w:rsid w:val="00BD0684"/>
    <w:rsid w:val="00BD2252"/>
    <w:rsid w:val="00BD28BF"/>
    <w:rsid w:val="00BD36B4"/>
    <w:rsid w:val="00BD3ECD"/>
    <w:rsid w:val="00BD58E3"/>
    <w:rsid w:val="00BD5DF5"/>
    <w:rsid w:val="00BD5FFC"/>
    <w:rsid w:val="00BD6404"/>
    <w:rsid w:val="00BD727C"/>
    <w:rsid w:val="00BD7A1E"/>
    <w:rsid w:val="00BE03DB"/>
    <w:rsid w:val="00BE08E7"/>
    <w:rsid w:val="00BE0FC7"/>
    <w:rsid w:val="00BE328D"/>
    <w:rsid w:val="00BE32B8"/>
    <w:rsid w:val="00BE33AE"/>
    <w:rsid w:val="00BE345A"/>
    <w:rsid w:val="00BE5FB6"/>
    <w:rsid w:val="00BE60F2"/>
    <w:rsid w:val="00BF046F"/>
    <w:rsid w:val="00BF11CA"/>
    <w:rsid w:val="00BF165E"/>
    <w:rsid w:val="00BF21BD"/>
    <w:rsid w:val="00BF2C9B"/>
    <w:rsid w:val="00BF3EB1"/>
    <w:rsid w:val="00BF48D7"/>
    <w:rsid w:val="00BF4F01"/>
    <w:rsid w:val="00BF520F"/>
    <w:rsid w:val="00BF5B06"/>
    <w:rsid w:val="00BF7BBB"/>
    <w:rsid w:val="00C007F7"/>
    <w:rsid w:val="00C011A7"/>
    <w:rsid w:val="00C01D50"/>
    <w:rsid w:val="00C0274F"/>
    <w:rsid w:val="00C03A16"/>
    <w:rsid w:val="00C03B0A"/>
    <w:rsid w:val="00C03DD3"/>
    <w:rsid w:val="00C05359"/>
    <w:rsid w:val="00C056DC"/>
    <w:rsid w:val="00C0632F"/>
    <w:rsid w:val="00C06637"/>
    <w:rsid w:val="00C06E5C"/>
    <w:rsid w:val="00C076A1"/>
    <w:rsid w:val="00C07E85"/>
    <w:rsid w:val="00C10EC2"/>
    <w:rsid w:val="00C1329B"/>
    <w:rsid w:val="00C13F44"/>
    <w:rsid w:val="00C14203"/>
    <w:rsid w:val="00C143FA"/>
    <w:rsid w:val="00C1572F"/>
    <w:rsid w:val="00C168E0"/>
    <w:rsid w:val="00C17B72"/>
    <w:rsid w:val="00C17C75"/>
    <w:rsid w:val="00C23B22"/>
    <w:rsid w:val="00C24B87"/>
    <w:rsid w:val="00C24C05"/>
    <w:rsid w:val="00C24D2F"/>
    <w:rsid w:val="00C25528"/>
    <w:rsid w:val="00C25921"/>
    <w:rsid w:val="00C26222"/>
    <w:rsid w:val="00C26376"/>
    <w:rsid w:val="00C27933"/>
    <w:rsid w:val="00C30594"/>
    <w:rsid w:val="00C31044"/>
    <w:rsid w:val="00C31283"/>
    <w:rsid w:val="00C31F99"/>
    <w:rsid w:val="00C32C53"/>
    <w:rsid w:val="00C32EE5"/>
    <w:rsid w:val="00C33C48"/>
    <w:rsid w:val="00C340AF"/>
    <w:rsid w:val="00C340E5"/>
    <w:rsid w:val="00C346C9"/>
    <w:rsid w:val="00C346E1"/>
    <w:rsid w:val="00C352D9"/>
    <w:rsid w:val="00C35AA7"/>
    <w:rsid w:val="00C43BA1"/>
    <w:rsid w:val="00C43DAB"/>
    <w:rsid w:val="00C45AF7"/>
    <w:rsid w:val="00C462C8"/>
    <w:rsid w:val="00C4748D"/>
    <w:rsid w:val="00C47F08"/>
    <w:rsid w:val="00C50854"/>
    <w:rsid w:val="00C514A6"/>
    <w:rsid w:val="00C52BA1"/>
    <w:rsid w:val="00C53A4D"/>
    <w:rsid w:val="00C54C67"/>
    <w:rsid w:val="00C54D3A"/>
    <w:rsid w:val="00C5739F"/>
    <w:rsid w:val="00C57C8E"/>
    <w:rsid w:val="00C57CF0"/>
    <w:rsid w:val="00C605EC"/>
    <w:rsid w:val="00C6099D"/>
    <w:rsid w:val="00C617B4"/>
    <w:rsid w:val="00C634DB"/>
    <w:rsid w:val="00C63557"/>
    <w:rsid w:val="00C639BE"/>
    <w:rsid w:val="00C649BD"/>
    <w:rsid w:val="00C64B35"/>
    <w:rsid w:val="00C64C50"/>
    <w:rsid w:val="00C65891"/>
    <w:rsid w:val="00C65E62"/>
    <w:rsid w:val="00C663B4"/>
    <w:rsid w:val="00C66AC9"/>
    <w:rsid w:val="00C66ED0"/>
    <w:rsid w:val="00C6785C"/>
    <w:rsid w:val="00C67BDB"/>
    <w:rsid w:val="00C7027C"/>
    <w:rsid w:val="00C7054A"/>
    <w:rsid w:val="00C70C79"/>
    <w:rsid w:val="00C7101D"/>
    <w:rsid w:val="00C71349"/>
    <w:rsid w:val="00C724D3"/>
    <w:rsid w:val="00C72888"/>
    <w:rsid w:val="00C734A9"/>
    <w:rsid w:val="00C74397"/>
    <w:rsid w:val="00C75CA4"/>
    <w:rsid w:val="00C76312"/>
    <w:rsid w:val="00C76A13"/>
    <w:rsid w:val="00C77DD9"/>
    <w:rsid w:val="00C82A41"/>
    <w:rsid w:val="00C83BE6"/>
    <w:rsid w:val="00C8472A"/>
    <w:rsid w:val="00C8498F"/>
    <w:rsid w:val="00C84A97"/>
    <w:rsid w:val="00C85354"/>
    <w:rsid w:val="00C86ABA"/>
    <w:rsid w:val="00C90216"/>
    <w:rsid w:val="00C92923"/>
    <w:rsid w:val="00C92935"/>
    <w:rsid w:val="00C92C22"/>
    <w:rsid w:val="00C943F3"/>
    <w:rsid w:val="00C94950"/>
    <w:rsid w:val="00C956D6"/>
    <w:rsid w:val="00C96D53"/>
    <w:rsid w:val="00CA0599"/>
    <w:rsid w:val="00CA08C6"/>
    <w:rsid w:val="00CA0A77"/>
    <w:rsid w:val="00CA12DF"/>
    <w:rsid w:val="00CA2729"/>
    <w:rsid w:val="00CA2F9A"/>
    <w:rsid w:val="00CA3057"/>
    <w:rsid w:val="00CA3548"/>
    <w:rsid w:val="00CA3E4B"/>
    <w:rsid w:val="00CA45F8"/>
    <w:rsid w:val="00CA5378"/>
    <w:rsid w:val="00CA7337"/>
    <w:rsid w:val="00CA7EE7"/>
    <w:rsid w:val="00CB0305"/>
    <w:rsid w:val="00CB05AB"/>
    <w:rsid w:val="00CB0994"/>
    <w:rsid w:val="00CB2901"/>
    <w:rsid w:val="00CB330E"/>
    <w:rsid w:val="00CB33C7"/>
    <w:rsid w:val="00CB367B"/>
    <w:rsid w:val="00CB5995"/>
    <w:rsid w:val="00CB6DA7"/>
    <w:rsid w:val="00CB7375"/>
    <w:rsid w:val="00CB7B1E"/>
    <w:rsid w:val="00CB7DE9"/>
    <w:rsid w:val="00CB7E4C"/>
    <w:rsid w:val="00CC0C02"/>
    <w:rsid w:val="00CC0F14"/>
    <w:rsid w:val="00CC25B4"/>
    <w:rsid w:val="00CC3410"/>
    <w:rsid w:val="00CC3F09"/>
    <w:rsid w:val="00CC52D8"/>
    <w:rsid w:val="00CC5F88"/>
    <w:rsid w:val="00CC66E3"/>
    <w:rsid w:val="00CC69C8"/>
    <w:rsid w:val="00CC6B08"/>
    <w:rsid w:val="00CC7196"/>
    <w:rsid w:val="00CC72B2"/>
    <w:rsid w:val="00CC77A2"/>
    <w:rsid w:val="00CD0714"/>
    <w:rsid w:val="00CD132B"/>
    <w:rsid w:val="00CD1EEE"/>
    <w:rsid w:val="00CD2E0C"/>
    <w:rsid w:val="00CD307E"/>
    <w:rsid w:val="00CD37B4"/>
    <w:rsid w:val="00CD4313"/>
    <w:rsid w:val="00CD629F"/>
    <w:rsid w:val="00CD62FB"/>
    <w:rsid w:val="00CD651D"/>
    <w:rsid w:val="00CD6A1B"/>
    <w:rsid w:val="00CD6F5C"/>
    <w:rsid w:val="00CD7B99"/>
    <w:rsid w:val="00CE09BD"/>
    <w:rsid w:val="00CE0A7F"/>
    <w:rsid w:val="00CE1718"/>
    <w:rsid w:val="00CE1A2C"/>
    <w:rsid w:val="00CE2D55"/>
    <w:rsid w:val="00CE3FC8"/>
    <w:rsid w:val="00CE587B"/>
    <w:rsid w:val="00CE647B"/>
    <w:rsid w:val="00CF0E3F"/>
    <w:rsid w:val="00CF3125"/>
    <w:rsid w:val="00CF320C"/>
    <w:rsid w:val="00CF4156"/>
    <w:rsid w:val="00CF55C9"/>
    <w:rsid w:val="00CF5DF0"/>
    <w:rsid w:val="00CF60B6"/>
    <w:rsid w:val="00D0036C"/>
    <w:rsid w:val="00D00656"/>
    <w:rsid w:val="00D009F8"/>
    <w:rsid w:val="00D01971"/>
    <w:rsid w:val="00D023DE"/>
    <w:rsid w:val="00D032EA"/>
    <w:rsid w:val="00D035CF"/>
    <w:rsid w:val="00D03D00"/>
    <w:rsid w:val="00D054C2"/>
    <w:rsid w:val="00D05C30"/>
    <w:rsid w:val="00D06281"/>
    <w:rsid w:val="00D06340"/>
    <w:rsid w:val="00D066FB"/>
    <w:rsid w:val="00D06AA5"/>
    <w:rsid w:val="00D073C2"/>
    <w:rsid w:val="00D10052"/>
    <w:rsid w:val="00D11118"/>
    <w:rsid w:val="00D11321"/>
    <w:rsid w:val="00D11359"/>
    <w:rsid w:val="00D11AAE"/>
    <w:rsid w:val="00D12554"/>
    <w:rsid w:val="00D12966"/>
    <w:rsid w:val="00D12AFE"/>
    <w:rsid w:val="00D13E5C"/>
    <w:rsid w:val="00D21374"/>
    <w:rsid w:val="00D21B61"/>
    <w:rsid w:val="00D220AF"/>
    <w:rsid w:val="00D23977"/>
    <w:rsid w:val="00D24636"/>
    <w:rsid w:val="00D26648"/>
    <w:rsid w:val="00D26D36"/>
    <w:rsid w:val="00D308E3"/>
    <w:rsid w:val="00D3188C"/>
    <w:rsid w:val="00D31A76"/>
    <w:rsid w:val="00D31C43"/>
    <w:rsid w:val="00D325B4"/>
    <w:rsid w:val="00D32B50"/>
    <w:rsid w:val="00D32F7E"/>
    <w:rsid w:val="00D33068"/>
    <w:rsid w:val="00D33BF4"/>
    <w:rsid w:val="00D33F95"/>
    <w:rsid w:val="00D35DA2"/>
    <w:rsid w:val="00D35F4A"/>
    <w:rsid w:val="00D35F9B"/>
    <w:rsid w:val="00D36407"/>
    <w:rsid w:val="00D36B69"/>
    <w:rsid w:val="00D408DD"/>
    <w:rsid w:val="00D411F8"/>
    <w:rsid w:val="00D4146C"/>
    <w:rsid w:val="00D41AEE"/>
    <w:rsid w:val="00D41F4C"/>
    <w:rsid w:val="00D425A9"/>
    <w:rsid w:val="00D42A91"/>
    <w:rsid w:val="00D437EF"/>
    <w:rsid w:val="00D44CE1"/>
    <w:rsid w:val="00D44E8B"/>
    <w:rsid w:val="00D45072"/>
    <w:rsid w:val="00D45D72"/>
    <w:rsid w:val="00D4636D"/>
    <w:rsid w:val="00D47396"/>
    <w:rsid w:val="00D506EE"/>
    <w:rsid w:val="00D50DF4"/>
    <w:rsid w:val="00D5127B"/>
    <w:rsid w:val="00D520E4"/>
    <w:rsid w:val="00D52A12"/>
    <w:rsid w:val="00D53A38"/>
    <w:rsid w:val="00D544B5"/>
    <w:rsid w:val="00D559AF"/>
    <w:rsid w:val="00D56502"/>
    <w:rsid w:val="00D575DD"/>
    <w:rsid w:val="00D57DFA"/>
    <w:rsid w:val="00D615C7"/>
    <w:rsid w:val="00D6309D"/>
    <w:rsid w:val="00D63655"/>
    <w:rsid w:val="00D63D5D"/>
    <w:rsid w:val="00D63FFC"/>
    <w:rsid w:val="00D6462F"/>
    <w:rsid w:val="00D67FCF"/>
    <w:rsid w:val="00D709CE"/>
    <w:rsid w:val="00D711C8"/>
    <w:rsid w:val="00D71F50"/>
    <w:rsid w:val="00D71F73"/>
    <w:rsid w:val="00D73F90"/>
    <w:rsid w:val="00D753F6"/>
    <w:rsid w:val="00D75C16"/>
    <w:rsid w:val="00D76A95"/>
    <w:rsid w:val="00D76E4C"/>
    <w:rsid w:val="00D801FB"/>
    <w:rsid w:val="00D80786"/>
    <w:rsid w:val="00D80EB3"/>
    <w:rsid w:val="00D81360"/>
    <w:rsid w:val="00D818A1"/>
    <w:rsid w:val="00D81CAB"/>
    <w:rsid w:val="00D843BC"/>
    <w:rsid w:val="00D85248"/>
    <w:rsid w:val="00D8576F"/>
    <w:rsid w:val="00D85C06"/>
    <w:rsid w:val="00D8677F"/>
    <w:rsid w:val="00D86A68"/>
    <w:rsid w:val="00D87028"/>
    <w:rsid w:val="00D87394"/>
    <w:rsid w:val="00D90E12"/>
    <w:rsid w:val="00D9221A"/>
    <w:rsid w:val="00D9295E"/>
    <w:rsid w:val="00D9368E"/>
    <w:rsid w:val="00D9412C"/>
    <w:rsid w:val="00D94946"/>
    <w:rsid w:val="00D95B41"/>
    <w:rsid w:val="00D96859"/>
    <w:rsid w:val="00D968D0"/>
    <w:rsid w:val="00D96B92"/>
    <w:rsid w:val="00D97F0C"/>
    <w:rsid w:val="00DA3A86"/>
    <w:rsid w:val="00DA4884"/>
    <w:rsid w:val="00DA6F7C"/>
    <w:rsid w:val="00DA7787"/>
    <w:rsid w:val="00DA7AD7"/>
    <w:rsid w:val="00DB0E03"/>
    <w:rsid w:val="00DB46AB"/>
    <w:rsid w:val="00DB68CE"/>
    <w:rsid w:val="00DC002F"/>
    <w:rsid w:val="00DC0AD8"/>
    <w:rsid w:val="00DC0E8D"/>
    <w:rsid w:val="00DC14B8"/>
    <w:rsid w:val="00DC1CB9"/>
    <w:rsid w:val="00DC2500"/>
    <w:rsid w:val="00DC36A0"/>
    <w:rsid w:val="00DC37FA"/>
    <w:rsid w:val="00DC3DE6"/>
    <w:rsid w:val="00DC440E"/>
    <w:rsid w:val="00DC4F72"/>
    <w:rsid w:val="00DC516A"/>
    <w:rsid w:val="00DC564C"/>
    <w:rsid w:val="00DC5AFE"/>
    <w:rsid w:val="00DC61B3"/>
    <w:rsid w:val="00DC654C"/>
    <w:rsid w:val="00DC77DC"/>
    <w:rsid w:val="00DD0453"/>
    <w:rsid w:val="00DD0C2C"/>
    <w:rsid w:val="00DD19DE"/>
    <w:rsid w:val="00DD28BC"/>
    <w:rsid w:val="00DD3383"/>
    <w:rsid w:val="00DD4B26"/>
    <w:rsid w:val="00DD553F"/>
    <w:rsid w:val="00DD71B0"/>
    <w:rsid w:val="00DD7FBF"/>
    <w:rsid w:val="00DE0014"/>
    <w:rsid w:val="00DE03DA"/>
    <w:rsid w:val="00DE31F0"/>
    <w:rsid w:val="00DE3B5A"/>
    <w:rsid w:val="00DE3D1C"/>
    <w:rsid w:val="00DE4496"/>
    <w:rsid w:val="00DE4ED2"/>
    <w:rsid w:val="00DE4F59"/>
    <w:rsid w:val="00DE5981"/>
    <w:rsid w:val="00DE6835"/>
    <w:rsid w:val="00DE6C95"/>
    <w:rsid w:val="00DE7A87"/>
    <w:rsid w:val="00DE7FF6"/>
    <w:rsid w:val="00DF04D0"/>
    <w:rsid w:val="00DF0B84"/>
    <w:rsid w:val="00DF2B9C"/>
    <w:rsid w:val="00DF2C9E"/>
    <w:rsid w:val="00DF2CE6"/>
    <w:rsid w:val="00DF2FA3"/>
    <w:rsid w:val="00DF3179"/>
    <w:rsid w:val="00DF4A7D"/>
    <w:rsid w:val="00DF6F91"/>
    <w:rsid w:val="00DF7E52"/>
    <w:rsid w:val="00E00A91"/>
    <w:rsid w:val="00E00E3E"/>
    <w:rsid w:val="00E0132A"/>
    <w:rsid w:val="00E0227D"/>
    <w:rsid w:val="00E038E4"/>
    <w:rsid w:val="00E039F7"/>
    <w:rsid w:val="00E04731"/>
    <w:rsid w:val="00E04B84"/>
    <w:rsid w:val="00E055EE"/>
    <w:rsid w:val="00E0604E"/>
    <w:rsid w:val="00E06466"/>
    <w:rsid w:val="00E06835"/>
    <w:rsid w:val="00E06FDA"/>
    <w:rsid w:val="00E12852"/>
    <w:rsid w:val="00E1360E"/>
    <w:rsid w:val="00E13DCA"/>
    <w:rsid w:val="00E14A51"/>
    <w:rsid w:val="00E14D3F"/>
    <w:rsid w:val="00E160A5"/>
    <w:rsid w:val="00E1703A"/>
    <w:rsid w:val="00E1713D"/>
    <w:rsid w:val="00E177EE"/>
    <w:rsid w:val="00E17904"/>
    <w:rsid w:val="00E17B04"/>
    <w:rsid w:val="00E20260"/>
    <w:rsid w:val="00E203ED"/>
    <w:rsid w:val="00E20A43"/>
    <w:rsid w:val="00E21E2C"/>
    <w:rsid w:val="00E2323F"/>
    <w:rsid w:val="00E2386F"/>
    <w:rsid w:val="00E23898"/>
    <w:rsid w:val="00E23979"/>
    <w:rsid w:val="00E23AFF"/>
    <w:rsid w:val="00E23DB2"/>
    <w:rsid w:val="00E319F1"/>
    <w:rsid w:val="00E32509"/>
    <w:rsid w:val="00E33CD2"/>
    <w:rsid w:val="00E33CEF"/>
    <w:rsid w:val="00E33D96"/>
    <w:rsid w:val="00E34B34"/>
    <w:rsid w:val="00E34C0C"/>
    <w:rsid w:val="00E35540"/>
    <w:rsid w:val="00E35F5F"/>
    <w:rsid w:val="00E35F97"/>
    <w:rsid w:val="00E36C2E"/>
    <w:rsid w:val="00E37CC6"/>
    <w:rsid w:val="00E40141"/>
    <w:rsid w:val="00E40790"/>
    <w:rsid w:val="00E40E90"/>
    <w:rsid w:val="00E40F4B"/>
    <w:rsid w:val="00E41F43"/>
    <w:rsid w:val="00E42A05"/>
    <w:rsid w:val="00E4313E"/>
    <w:rsid w:val="00E440E1"/>
    <w:rsid w:val="00E44115"/>
    <w:rsid w:val="00E44E00"/>
    <w:rsid w:val="00E45C7E"/>
    <w:rsid w:val="00E465FC"/>
    <w:rsid w:val="00E47E0F"/>
    <w:rsid w:val="00E50038"/>
    <w:rsid w:val="00E50735"/>
    <w:rsid w:val="00E516D8"/>
    <w:rsid w:val="00E52AB7"/>
    <w:rsid w:val="00E531EB"/>
    <w:rsid w:val="00E53CA9"/>
    <w:rsid w:val="00E543AD"/>
    <w:rsid w:val="00E54874"/>
    <w:rsid w:val="00E54B6F"/>
    <w:rsid w:val="00E54F0D"/>
    <w:rsid w:val="00E55183"/>
    <w:rsid w:val="00E55ACA"/>
    <w:rsid w:val="00E55AFA"/>
    <w:rsid w:val="00E56C79"/>
    <w:rsid w:val="00E56E3A"/>
    <w:rsid w:val="00E57183"/>
    <w:rsid w:val="00E57B74"/>
    <w:rsid w:val="00E614F7"/>
    <w:rsid w:val="00E61543"/>
    <w:rsid w:val="00E634CE"/>
    <w:rsid w:val="00E63C6F"/>
    <w:rsid w:val="00E645AE"/>
    <w:rsid w:val="00E65105"/>
    <w:rsid w:val="00E65BC6"/>
    <w:rsid w:val="00E661FF"/>
    <w:rsid w:val="00E72450"/>
    <w:rsid w:val="00E726EB"/>
    <w:rsid w:val="00E72CF1"/>
    <w:rsid w:val="00E72DF3"/>
    <w:rsid w:val="00E73A3B"/>
    <w:rsid w:val="00E74C9B"/>
    <w:rsid w:val="00E80B52"/>
    <w:rsid w:val="00E818CA"/>
    <w:rsid w:val="00E819EF"/>
    <w:rsid w:val="00E824C3"/>
    <w:rsid w:val="00E82B31"/>
    <w:rsid w:val="00E840B3"/>
    <w:rsid w:val="00E84450"/>
    <w:rsid w:val="00E846EA"/>
    <w:rsid w:val="00E84D10"/>
    <w:rsid w:val="00E84EBA"/>
    <w:rsid w:val="00E85678"/>
    <w:rsid w:val="00E8629F"/>
    <w:rsid w:val="00E868FE"/>
    <w:rsid w:val="00E91008"/>
    <w:rsid w:val="00E91099"/>
    <w:rsid w:val="00E92D35"/>
    <w:rsid w:val="00E92D52"/>
    <w:rsid w:val="00E9374E"/>
    <w:rsid w:val="00E93FDA"/>
    <w:rsid w:val="00E945AE"/>
    <w:rsid w:val="00E94F54"/>
    <w:rsid w:val="00E950FB"/>
    <w:rsid w:val="00E955EE"/>
    <w:rsid w:val="00E961EB"/>
    <w:rsid w:val="00E979C5"/>
    <w:rsid w:val="00E97AD5"/>
    <w:rsid w:val="00E97EBB"/>
    <w:rsid w:val="00EA0BA1"/>
    <w:rsid w:val="00EA0C32"/>
    <w:rsid w:val="00EA1025"/>
    <w:rsid w:val="00EA1111"/>
    <w:rsid w:val="00EA151E"/>
    <w:rsid w:val="00EA1B03"/>
    <w:rsid w:val="00EA2287"/>
    <w:rsid w:val="00EA2FBC"/>
    <w:rsid w:val="00EA3074"/>
    <w:rsid w:val="00EA3B4F"/>
    <w:rsid w:val="00EA3C24"/>
    <w:rsid w:val="00EA4BEE"/>
    <w:rsid w:val="00EA52F5"/>
    <w:rsid w:val="00EA5B3C"/>
    <w:rsid w:val="00EA73DF"/>
    <w:rsid w:val="00EA74BE"/>
    <w:rsid w:val="00EA79CE"/>
    <w:rsid w:val="00EB0177"/>
    <w:rsid w:val="00EB1531"/>
    <w:rsid w:val="00EB28C1"/>
    <w:rsid w:val="00EB3553"/>
    <w:rsid w:val="00EB4CB1"/>
    <w:rsid w:val="00EB53C6"/>
    <w:rsid w:val="00EB5836"/>
    <w:rsid w:val="00EB5DBB"/>
    <w:rsid w:val="00EB61AE"/>
    <w:rsid w:val="00EB6465"/>
    <w:rsid w:val="00EB673F"/>
    <w:rsid w:val="00EB6FD8"/>
    <w:rsid w:val="00EC06D4"/>
    <w:rsid w:val="00EC0A26"/>
    <w:rsid w:val="00EC0E1C"/>
    <w:rsid w:val="00EC0E94"/>
    <w:rsid w:val="00EC322D"/>
    <w:rsid w:val="00EC3402"/>
    <w:rsid w:val="00EC3D07"/>
    <w:rsid w:val="00EC5927"/>
    <w:rsid w:val="00EC5D29"/>
    <w:rsid w:val="00EC6D2D"/>
    <w:rsid w:val="00EC7711"/>
    <w:rsid w:val="00EC7E71"/>
    <w:rsid w:val="00ED0A05"/>
    <w:rsid w:val="00ED23D0"/>
    <w:rsid w:val="00ED383A"/>
    <w:rsid w:val="00ED3AB5"/>
    <w:rsid w:val="00ED3ECB"/>
    <w:rsid w:val="00ED4AB2"/>
    <w:rsid w:val="00ED5CDC"/>
    <w:rsid w:val="00ED5F2D"/>
    <w:rsid w:val="00ED78CF"/>
    <w:rsid w:val="00EE010C"/>
    <w:rsid w:val="00EE0C1B"/>
    <w:rsid w:val="00EE1080"/>
    <w:rsid w:val="00EE4178"/>
    <w:rsid w:val="00EE70D2"/>
    <w:rsid w:val="00EF05D0"/>
    <w:rsid w:val="00EF1327"/>
    <w:rsid w:val="00EF1EC5"/>
    <w:rsid w:val="00EF493E"/>
    <w:rsid w:val="00EF4B0B"/>
    <w:rsid w:val="00EF4C86"/>
    <w:rsid w:val="00EF4C88"/>
    <w:rsid w:val="00EF4E5C"/>
    <w:rsid w:val="00EF55EB"/>
    <w:rsid w:val="00EF7712"/>
    <w:rsid w:val="00F00DCC"/>
    <w:rsid w:val="00F0145E"/>
    <w:rsid w:val="00F0156F"/>
    <w:rsid w:val="00F02450"/>
    <w:rsid w:val="00F05A1F"/>
    <w:rsid w:val="00F05AC8"/>
    <w:rsid w:val="00F06DE4"/>
    <w:rsid w:val="00F07167"/>
    <w:rsid w:val="00F072D8"/>
    <w:rsid w:val="00F07CCB"/>
    <w:rsid w:val="00F07CE0"/>
    <w:rsid w:val="00F07E9C"/>
    <w:rsid w:val="00F10AC3"/>
    <w:rsid w:val="00F115F5"/>
    <w:rsid w:val="00F121CC"/>
    <w:rsid w:val="00F12E40"/>
    <w:rsid w:val="00F13846"/>
    <w:rsid w:val="00F13B44"/>
    <w:rsid w:val="00F13D05"/>
    <w:rsid w:val="00F143BA"/>
    <w:rsid w:val="00F14B69"/>
    <w:rsid w:val="00F15FEB"/>
    <w:rsid w:val="00F1679D"/>
    <w:rsid w:val="00F1682C"/>
    <w:rsid w:val="00F20B91"/>
    <w:rsid w:val="00F21139"/>
    <w:rsid w:val="00F215DB"/>
    <w:rsid w:val="00F21EA6"/>
    <w:rsid w:val="00F22C35"/>
    <w:rsid w:val="00F23E13"/>
    <w:rsid w:val="00F247AA"/>
    <w:rsid w:val="00F249CF"/>
    <w:rsid w:val="00F24B8B"/>
    <w:rsid w:val="00F251A2"/>
    <w:rsid w:val="00F25E19"/>
    <w:rsid w:val="00F272DE"/>
    <w:rsid w:val="00F27414"/>
    <w:rsid w:val="00F27470"/>
    <w:rsid w:val="00F300C4"/>
    <w:rsid w:val="00F30D2E"/>
    <w:rsid w:val="00F31999"/>
    <w:rsid w:val="00F34103"/>
    <w:rsid w:val="00F344CC"/>
    <w:rsid w:val="00F34556"/>
    <w:rsid w:val="00F35516"/>
    <w:rsid w:val="00F35790"/>
    <w:rsid w:val="00F408B0"/>
    <w:rsid w:val="00F4136D"/>
    <w:rsid w:val="00F41870"/>
    <w:rsid w:val="00F41BCD"/>
    <w:rsid w:val="00F4212E"/>
    <w:rsid w:val="00F422C6"/>
    <w:rsid w:val="00F42C20"/>
    <w:rsid w:val="00F439EB"/>
    <w:rsid w:val="00F43E34"/>
    <w:rsid w:val="00F44281"/>
    <w:rsid w:val="00F45D85"/>
    <w:rsid w:val="00F4635E"/>
    <w:rsid w:val="00F46EAE"/>
    <w:rsid w:val="00F46EED"/>
    <w:rsid w:val="00F50D77"/>
    <w:rsid w:val="00F52442"/>
    <w:rsid w:val="00F5280E"/>
    <w:rsid w:val="00F53053"/>
    <w:rsid w:val="00F538C2"/>
    <w:rsid w:val="00F53FE2"/>
    <w:rsid w:val="00F54F98"/>
    <w:rsid w:val="00F5619C"/>
    <w:rsid w:val="00F575FF"/>
    <w:rsid w:val="00F611E6"/>
    <w:rsid w:val="00F61312"/>
    <w:rsid w:val="00F618EF"/>
    <w:rsid w:val="00F6344E"/>
    <w:rsid w:val="00F639A1"/>
    <w:rsid w:val="00F641A1"/>
    <w:rsid w:val="00F65582"/>
    <w:rsid w:val="00F65D26"/>
    <w:rsid w:val="00F66E75"/>
    <w:rsid w:val="00F66E78"/>
    <w:rsid w:val="00F6733A"/>
    <w:rsid w:val="00F677C9"/>
    <w:rsid w:val="00F67D1E"/>
    <w:rsid w:val="00F70E40"/>
    <w:rsid w:val="00F70EE7"/>
    <w:rsid w:val="00F71A47"/>
    <w:rsid w:val="00F7248F"/>
    <w:rsid w:val="00F732DF"/>
    <w:rsid w:val="00F73306"/>
    <w:rsid w:val="00F734C8"/>
    <w:rsid w:val="00F7377B"/>
    <w:rsid w:val="00F74960"/>
    <w:rsid w:val="00F76921"/>
    <w:rsid w:val="00F76AFA"/>
    <w:rsid w:val="00F76CCA"/>
    <w:rsid w:val="00F77482"/>
    <w:rsid w:val="00F77EB0"/>
    <w:rsid w:val="00F81C8B"/>
    <w:rsid w:val="00F82412"/>
    <w:rsid w:val="00F829D2"/>
    <w:rsid w:val="00F83B14"/>
    <w:rsid w:val="00F8461F"/>
    <w:rsid w:val="00F84827"/>
    <w:rsid w:val="00F851B5"/>
    <w:rsid w:val="00F86A86"/>
    <w:rsid w:val="00F877BC"/>
    <w:rsid w:val="00F87A2B"/>
    <w:rsid w:val="00F87A92"/>
    <w:rsid w:val="00F87CDD"/>
    <w:rsid w:val="00F93314"/>
    <w:rsid w:val="00F933F0"/>
    <w:rsid w:val="00F937A3"/>
    <w:rsid w:val="00F94715"/>
    <w:rsid w:val="00F96A3D"/>
    <w:rsid w:val="00F96BB6"/>
    <w:rsid w:val="00FA042B"/>
    <w:rsid w:val="00FA117A"/>
    <w:rsid w:val="00FA119E"/>
    <w:rsid w:val="00FA1D60"/>
    <w:rsid w:val="00FA320C"/>
    <w:rsid w:val="00FA4718"/>
    <w:rsid w:val="00FA54A9"/>
    <w:rsid w:val="00FA5848"/>
    <w:rsid w:val="00FA615C"/>
    <w:rsid w:val="00FA6899"/>
    <w:rsid w:val="00FA73C0"/>
    <w:rsid w:val="00FA77EC"/>
    <w:rsid w:val="00FA7E29"/>
    <w:rsid w:val="00FA7F3D"/>
    <w:rsid w:val="00FB0A79"/>
    <w:rsid w:val="00FB1350"/>
    <w:rsid w:val="00FB1E83"/>
    <w:rsid w:val="00FB3330"/>
    <w:rsid w:val="00FB38D8"/>
    <w:rsid w:val="00FB57D6"/>
    <w:rsid w:val="00FB6939"/>
    <w:rsid w:val="00FB7104"/>
    <w:rsid w:val="00FB7D41"/>
    <w:rsid w:val="00FC051F"/>
    <w:rsid w:val="00FC06A3"/>
    <w:rsid w:val="00FC06FF"/>
    <w:rsid w:val="00FC3D2C"/>
    <w:rsid w:val="00FC5778"/>
    <w:rsid w:val="00FC5930"/>
    <w:rsid w:val="00FC5EC3"/>
    <w:rsid w:val="00FC69B4"/>
    <w:rsid w:val="00FD04C4"/>
    <w:rsid w:val="00FD0694"/>
    <w:rsid w:val="00FD25BE"/>
    <w:rsid w:val="00FD2E70"/>
    <w:rsid w:val="00FD5239"/>
    <w:rsid w:val="00FD6096"/>
    <w:rsid w:val="00FD6234"/>
    <w:rsid w:val="00FD69A7"/>
    <w:rsid w:val="00FD71EE"/>
    <w:rsid w:val="00FD7AA7"/>
    <w:rsid w:val="00FD7B1B"/>
    <w:rsid w:val="00FD7F04"/>
    <w:rsid w:val="00FE1EB1"/>
    <w:rsid w:val="00FE2F7C"/>
    <w:rsid w:val="00FE5F64"/>
    <w:rsid w:val="00FE7FD7"/>
    <w:rsid w:val="00FF07DB"/>
    <w:rsid w:val="00FF0E8B"/>
    <w:rsid w:val="00FF1791"/>
    <w:rsid w:val="00FF18E1"/>
    <w:rsid w:val="00FF1FCB"/>
    <w:rsid w:val="00FF3FBF"/>
    <w:rsid w:val="00FF52D4"/>
    <w:rsid w:val="00FF66F2"/>
    <w:rsid w:val="00FF6AA4"/>
    <w:rsid w:val="00FF6B09"/>
    <w:rsid w:val="00FF6C85"/>
    <w:rsid w:val="00FF714C"/>
    <w:rsid w:val="036C3F49"/>
    <w:rsid w:val="08EFAB60"/>
    <w:rsid w:val="0928D74B"/>
    <w:rsid w:val="0EF82ABD"/>
    <w:rsid w:val="107199B0"/>
    <w:rsid w:val="144DE250"/>
    <w:rsid w:val="15C986A1"/>
    <w:rsid w:val="1B95627E"/>
    <w:rsid w:val="1C58F435"/>
    <w:rsid w:val="2321B8CF"/>
    <w:rsid w:val="248EA5BC"/>
    <w:rsid w:val="24E5AD5C"/>
    <w:rsid w:val="25231C67"/>
    <w:rsid w:val="2EE582F6"/>
    <w:rsid w:val="2EF0D60C"/>
    <w:rsid w:val="33B8F419"/>
    <w:rsid w:val="4A170CBB"/>
    <w:rsid w:val="4B18F3FD"/>
    <w:rsid w:val="58D971B8"/>
    <w:rsid w:val="62DA1416"/>
    <w:rsid w:val="66E03108"/>
    <w:rsid w:val="686EB910"/>
    <w:rsid w:val="69983059"/>
    <w:rsid w:val="6C026D99"/>
    <w:rsid w:val="6DAAEFE2"/>
    <w:rsid w:val="7F1E78E3"/>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74B8E26"/>
  <w15:docId w15:val="{B5491432-F9AA-4DB5-970B-5B352005B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Calibri"/>
        <w:sz w:val="22"/>
        <w:szCs w:val="22"/>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4" w:qFormat="1"/>
    <w:lsdException w:name="List 5" w:qFormat="1"/>
    <w:lsdException w:name="List Bullet 2"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7A12"/>
    <w:pPr>
      <w:spacing w:after="180"/>
    </w:pPr>
  </w:style>
  <w:style w:type="paragraph" w:styleId="Heading1">
    <w:name w:val="heading 1"/>
    <w:next w:val="Normal"/>
    <w:link w:val="Heading1Char"/>
    <w:qFormat/>
    <w:pPr>
      <w:keepNext/>
      <w:keepLines/>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Id w:val="1"/>
      </w:numPr>
      <w:pBdr>
        <w:top w:val="none" w:sz="0" w:space="0" w:color="auto"/>
      </w:pBdr>
      <w:tabs>
        <w:tab w:val="left" w:pos="700"/>
      </w:tabs>
      <w:overflowPunct w:val="0"/>
      <w:autoSpaceDE w:val="0"/>
      <w:autoSpaceDN w:val="0"/>
      <w:adjustRightInd w:val="0"/>
      <w:spacing w:before="180" w:after="120"/>
      <w:jc w:val="both"/>
      <w:textAlignment w:val="baseline"/>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rPr>
      <w:lang w:val="en-GB" w:eastAsia="en-US"/>
    </w:rPr>
  </w:style>
  <w:style w:type="paragraph" w:customStyle="1" w:styleId="1">
    <w:name w:val="修订1"/>
    <w:hidden/>
    <w:uiPriority w:val="99"/>
    <w:semiHidden/>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uiPriority w:val="35"/>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Cs w:val="24"/>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rPr>
  </w:style>
  <w:style w:type="paragraph" w:customStyle="1" w:styleId="tal0">
    <w:name w:val="tal"/>
    <w:basedOn w:val="Normal"/>
    <w:qFormat/>
    <w:pPr>
      <w:spacing w:before="100" w:beforeAutospacing="1" w:after="100" w:afterAutospacing="1"/>
    </w:pPr>
    <w:rPr>
      <w:rFonts w:eastAsia="Calibri"/>
      <w:sz w:val="24"/>
      <w:szCs w:val="24"/>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Lista1,- Bullets,列出段落,?? ??,?????,????,목록 단락,목록 단,1st level - Bullet List Paragraph,List Paragraph1,Lettre d'introduction,Paragrafo elenco,Normal bullet 2,Bullet list,Numbered List,Task Body,Viñetas (Inicio Parrafo),3 Txt tabla,R4_bullets"/>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Lista1 Char,- Bullets Char,列出段落 Char,?? ?? Char,????? Char,???? Char,목록 단락 Char,목록 단 Char,1st level - Bullet List Paragraph Char,List Paragraph1 Char,Lettre d'introduction Char,Paragrafo elenco Char,Normal bullet 2 Char"/>
    <w:link w:val="ListParagraph"/>
    <w:uiPriority w:val="34"/>
    <w:qFormat/>
    <w:locked/>
    <w:rPr>
      <w:rFonts w:eastAsia="MS Mincho"/>
      <w:lang w:val="en-GB" w:eastAsia="en-US"/>
    </w:rPr>
  </w:style>
  <w:style w:type="paragraph" w:customStyle="1" w:styleId="Style0">
    <w:name w:val="_Style 0"/>
    <w:uiPriority w:val="1"/>
    <w:qFormat/>
    <w:pPr>
      <w:widowControl w:val="0"/>
      <w:jc w:val="both"/>
    </w:pPr>
    <w:rPr>
      <w:kern w:val="2"/>
      <w:sz w:val="21"/>
      <w:szCs w:val="24"/>
    </w:rPr>
  </w:style>
  <w:style w:type="paragraph" w:customStyle="1" w:styleId="abstract">
    <w:name w:val="abstract"/>
    <w:basedOn w:val="Normal"/>
    <w:next w:val="Normal"/>
    <w:qFormat/>
    <w:pPr>
      <w:spacing w:before="120" w:after="120"/>
      <w:ind w:left="1440" w:right="1440"/>
      <w:jc w:val="both"/>
    </w:pPr>
    <w:rPr>
      <w:rFonts w:ascii="Book Antiqua" w:eastAsia="Times New Roman" w:hAnsi="Book Antiqua"/>
      <w:i/>
    </w:rPr>
  </w:style>
  <w:style w:type="paragraph" w:customStyle="1" w:styleId="StyleCaptioncapcapCharCaptionCharCaptionChar1CharcapChar">
    <w:name w:val="Style Captioncapcap CharCaption CharCaption Char1 Charcap Char..."/>
    <w:basedOn w:val="Caption"/>
    <w:qFormat/>
    <w:pPr>
      <w:keepNext/>
      <w:overflowPunct w:val="0"/>
      <w:autoSpaceDE w:val="0"/>
      <w:autoSpaceDN w:val="0"/>
      <w:adjustRightInd w:val="0"/>
      <w:spacing w:after="60"/>
      <w:jc w:val="center"/>
      <w:textAlignment w:val="baseline"/>
    </w:pPr>
    <w:rPr>
      <w:bCs/>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2">
    <w:name w:val="B2+"/>
    <w:basedOn w:val="B20"/>
    <w:qFormat/>
    <w:pPr>
      <w:numPr>
        <w:numId w:val="3"/>
      </w:numPr>
      <w:overflowPunct w:val="0"/>
      <w:autoSpaceDE w:val="0"/>
      <w:autoSpaceDN w:val="0"/>
      <w:adjustRightInd w:val="0"/>
      <w:textAlignment w:val="baseline"/>
    </w:pPr>
  </w:style>
  <w:style w:type="paragraph" w:customStyle="1" w:styleId="psection-2">
    <w:name w:val="psection-2"/>
    <w:basedOn w:val="Normal"/>
    <w:rsid w:val="0094432A"/>
    <w:pPr>
      <w:spacing w:before="100" w:beforeAutospacing="1" w:after="100" w:afterAutospacing="1"/>
    </w:pPr>
    <w:rPr>
      <w:rFonts w:eastAsia="Times New Roman"/>
      <w:sz w:val="24"/>
      <w:szCs w:val="24"/>
      <w:lang w:val="en-SE" w:eastAsia="en-SE"/>
    </w:rPr>
  </w:style>
  <w:style w:type="character" w:customStyle="1" w:styleId="sup">
    <w:name w:val="sup"/>
    <w:basedOn w:val="DefaultParagraphFont"/>
    <w:rsid w:val="0094432A"/>
  </w:style>
  <w:style w:type="character" w:customStyle="1" w:styleId="enumxml">
    <w:name w:val="enumxml"/>
    <w:basedOn w:val="DefaultParagraphFont"/>
    <w:rsid w:val="00735689"/>
  </w:style>
  <w:style w:type="paragraph" w:customStyle="1" w:styleId="psection-1">
    <w:name w:val="psection-1"/>
    <w:basedOn w:val="Normal"/>
    <w:rsid w:val="00B162C7"/>
    <w:pPr>
      <w:spacing w:before="100" w:beforeAutospacing="1" w:after="100" w:afterAutospacing="1"/>
    </w:pPr>
    <w:rPr>
      <w:rFonts w:eastAsia="Times New Roman"/>
      <w:sz w:val="24"/>
      <w:szCs w:val="24"/>
      <w:lang w:val="en-SE" w:eastAsia="en-SE"/>
    </w:rPr>
  </w:style>
  <w:style w:type="character" w:customStyle="1" w:styleId="et03">
    <w:name w:val="et03"/>
    <w:basedOn w:val="DefaultParagraphFont"/>
    <w:rsid w:val="00B162C7"/>
  </w:style>
  <w:style w:type="paragraph" w:customStyle="1" w:styleId="Default">
    <w:name w:val="Default"/>
    <w:rsid w:val="001D6B65"/>
    <w:pPr>
      <w:autoSpaceDE w:val="0"/>
      <w:autoSpaceDN w:val="0"/>
      <w:adjustRightInd w:val="0"/>
    </w:pPr>
    <w:rPr>
      <w:rFonts w:ascii="Arial" w:hAnsi="Arial" w:cs="Arial"/>
      <w:color w:val="000000"/>
      <w:sz w:val="24"/>
      <w:szCs w:val="24"/>
      <w:lang w:val="en-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654942">
      <w:bodyDiv w:val="1"/>
      <w:marLeft w:val="0"/>
      <w:marRight w:val="0"/>
      <w:marTop w:val="0"/>
      <w:marBottom w:val="0"/>
      <w:divBdr>
        <w:top w:val="none" w:sz="0" w:space="0" w:color="auto"/>
        <w:left w:val="none" w:sz="0" w:space="0" w:color="auto"/>
        <w:bottom w:val="none" w:sz="0" w:space="0" w:color="auto"/>
        <w:right w:val="none" w:sz="0" w:space="0" w:color="auto"/>
      </w:divBdr>
    </w:div>
    <w:div w:id="215359661">
      <w:bodyDiv w:val="1"/>
      <w:marLeft w:val="0"/>
      <w:marRight w:val="0"/>
      <w:marTop w:val="0"/>
      <w:marBottom w:val="0"/>
      <w:divBdr>
        <w:top w:val="none" w:sz="0" w:space="0" w:color="auto"/>
        <w:left w:val="none" w:sz="0" w:space="0" w:color="auto"/>
        <w:bottom w:val="none" w:sz="0" w:space="0" w:color="auto"/>
        <w:right w:val="none" w:sz="0" w:space="0" w:color="auto"/>
      </w:divBdr>
      <w:divsChild>
        <w:div w:id="260450631">
          <w:marLeft w:val="0"/>
          <w:marRight w:val="0"/>
          <w:marTop w:val="0"/>
          <w:marBottom w:val="0"/>
          <w:divBdr>
            <w:top w:val="none" w:sz="0" w:space="0" w:color="auto"/>
            <w:left w:val="none" w:sz="0" w:space="0" w:color="auto"/>
            <w:bottom w:val="none" w:sz="0" w:space="0" w:color="auto"/>
            <w:right w:val="none" w:sz="0" w:space="0" w:color="auto"/>
          </w:divBdr>
          <w:divsChild>
            <w:div w:id="457260020">
              <w:marLeft w:val="0"/>
              <w:marRight w:val="0"/>
              <w:marTop w:val="0"/>
              <w:marBottom w:val="0"/>
              <w:divBdr>
                <w:top w:val="none" w:sz="0" w:space="0" w:color="auto"/>
                <w:left w:val="none" w:sz="0" w:space="0" w:color="auto"/>
                <w:bottom w:val="none" w:sz="0" w:space="0" w:color="auto"/>
                <w:right w:val="none" w:sz="0" w:space="0" w:color="auto"/>
              </w:divBdr>
              <w:divsChild>
                <w:div w:id="241913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2060445">
          <w:marLeft w:val="0"/>
          <w:marRight w:val="0"/>
          <w:marTop w:val="0"/>
          <w:marBottom w:val="0"/>
          <w:divBdr>
            <w:top w:val="none" w:sz="0" w:space="0" w:color="auto"/>
            <w:left w:val="none" w:sz="0" w:space="0" w:color="auto"/>
            <w:bottom w:val="none" w:sz="0" w:space="0" w:color="auto"/>
            <w:right w:val="none" w:sz="0" w:space="0" w:color="auto"/>
          </w:divBdr>
        </w:div>
      </w:divsChild>
    </w:div>
    <w:div w:id="230120462">
      <w:bodyDiv w:val="1"/>
      <w:marLeft w:val="0"/>
      <w:marRight w:val="0"/>
      <w:marTop w:val="0"/>
      <w:marBottom w:val="0"/>
      <w:divBdr>
        <w:top w:val="none" w:sz="0" w:space="0" w:color="auto"/>
        <w:left w:val="none" w:sz="0" w:space="0" w:color="auto"/>
        <w:bottom w:val="none" w:sz="0" w:space="0" w:color="auto"/>
        <w:right w:val="none" w:sz="0" w:space="0" w:color="auto"/>
      </w:divBdr>
    </w:div>
    <w:div w:id="234751895">
      <w:bodyDiv w:val="1"/>
      <w:marLeft w:val="0"/>
      <w:marRight w:val="0"/>
      <w:marTop w:val="0"/>
      <w:marBottom w:val="0"/>
      <w:divBdr>
        <w:top w:val="none" w:sz="0" w:space="0" w:color="auto"/>
        <w:left w:val="none" w:sz="0" w:space="0" w:color="auto"/>
        <w:bottom w:val="none" w:sz="0" w:space="0" w:color="auto"/>
        <w:right w:val="none" w:sz="0" w:space="0" w:color="auto"/>
      </w:divBdr>
    </w:div>
    <w:div w:id="312609646">
      <w:bodyDiv w:val="1"/>
      <w:marLeft w:val="0"/>
      <w:marRight w:val="0"/>
      <w:marTop w:val="0"/>
      <w:marBottom w:val="0"/>
      <w:divBdr>
        <w:top w:val="none" w:sz="0" w:space="0" w:color="auto"/>
        <w:left w:val="none" w:sz="0" w:space="0" w:color="auto"/>
        <w:bottom w:val="none" w:sz="0" w:space="0" w:color="auto"/>
        <w:right w:val="none" w:sz="0" w:space="0" w:color="auto"/>
      </w:divBdr>
      <w:divsChild>
        <w:div w:id="39669098">
          <w:marLeft w:val="0"/>
          <w:marRight w:val="0"/>
          <w:marTop w:val="0"/>
          <w:marBottom w:val="0"/>
          <w:divBdr>
            <w:top w:val="none" w:sz="0" w:space="0" w:color="auto"/>
            <w:left w:val="none" w:sz="0" w:space="0" w:color="auto"/>
            <w:bottom w:val="none" w:sz="0" w:space="0" w:color="auto"/>
            <w:right w:val="none" w:sz="0" w:space="0" w:color="auto"/>
          </w:divBdr>
          <w:divsChild>
            <w:div w:id="155921568">
              <w:marLeft w:val="0"/>
              <w:marRight w:val="0"/>
              <w:marTop w:val="0"/>
              <w:marBottom w:val="0"/>
              <w:divBdr>
                <w:top w:val="none" w:sz="0" w:space="0" w:color="auto"/>
                <w:left w:val="none" w:sz="0" w:space="0" w:color="auto"/>
                <w:bottom w:val="none" w:sz="0" w:space="0" w:color="auto"/>
                <w:right w:val="none" w:sz="0" w:space="0" w:color="auto"/>
              </w:divBdr>
              <w:divsChild>
                <w:div w:id="408116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354056">
          <w:marLeft w:val="0"/>
          <w:marRight w:val="0"/>
          <w:marTop w:val="0"/>
          <w:marBottom w:val="0"/>
          <w:divBdr>
            <w:top w:val="none" w:sz="0" w:space="0" w:color="auto"/>
            <w:left w:val="none" w:sz="0" w:space="0" w:color="auto"/>
            <w:bottom w:val="none" w:sz="0" w:space="0" w:color="auto"/>
            <w:right w:val="none" w:sz="0" w:space="0" w:color="auto"/>
          </w:divBdr>
        </w:div>
      </w:divsChild>
    </w:div>
    <w:div w:id="368847510">
      <w:bodyDiv w:val="1"/>
      <w:marLeft w:val="0"/>
      <w:marRight w:val="0"/>
      <w:marTop w:val="0"/>
      <w:marBottom w:val="0"/>
      <w:divBdr>
        <w:top w:val="none" w:sz="0" w:space="0" w:color="auto"/>
        <w:left w:val="none" w:sz="0" w:space="0" w:color="auto"/>
        <w:bottom w:val="none" w:sz="0" w:space="0" w:color="auto"/>
        <w:right w:val="none" w:sz="0" w:space="0" w:color="auto"/>
      </w:divBdr>
      <w:divsChild>
        <w:div w:id="436877869">
          <w:marLeft w:val="0"/>
          <w:marRight w:val="0"/>
          <w:marTop w:val="0"/>
          <w:marBottom w:val="0"/>
          <w:divBdr>
            <w:top w:val="none" w:sz="0" w:space="0" w:color="auto"/>
            <w:left w:val="none" w:sz="0" w:space="0" w:color="auto"/>
            <w:bottom w:val="none" w:sz="0" w:space="0" w:color="auto"/>
            <w:right w:val="none" w:sz="0" w:space="0" w:color="auto"/>
          </w:divBdr>
        </w:div>
        <w:div w:id="1681200347">
          <w:marLeft w:val="0"/>
          <w:marRight w:val="0"/>
          <w:marTop w:val="0"/>
          <w:marBottom w:val="0"/>
          <w:divBdr>
            <w:top w:val="none" w:sz="0" w:space="0" w:color="auto"/>
            <w:left w:val="none" w:sz="0" w:space="0" w:color="auto"/>
            <w:bottom w:val="none" w:sz="0" w:space="0" w:color="auto"/>
            <w:right w:val="none" w:sz="0" w:space="0" w:color="auto"/>
          </w:divBdr>
        </w:div>
      </w:divsChild>
    </w:div>
    <w:div w:id="642926993">
      <w:bodyDiv w:val="1"/>
      <w:marLeft w:val="0"/>
      <w:marRight w:val="0"/>
      <w:marTop w:val="0"/>
      <w:marBottom w:val="0"/>
      <w:divBdr>
        <w:top w:val="none" w:sz="0" w:space="0" w:color="auto"/>
        <w:left w:val="none" w:sz="0" w:space="0" w:color="auto"/>
        <w:bottom w:val="none" w:sz="0" w:space="0" w:color="auto"/>
        <w:right w:val="none" w:sz="0" w:space="0" w:color="auto"/>
      </w:divBdr>
      <w:divsChild>
        <w:div w:id="1906211199">
          <w:marLeft w:val="0"/>
          <w:marRight w:val="0"/>
          <w:marTop w:val="0"/>
          <w:marBottom w:val="0"/>
          <w:divBdr>
            <w:top w:val="none" w:sz="0" w:space="0" w:color="auto"/>
            <w:left w:val="none" w:sz="0" w:space="0" w:color="auto"/>
            <w:bottom w:val="none" w:sz="0" w:space="0" w:color="auto"/>
            <w:right w:val="none" w:sz="0" w:space="0" w:color="auto"/>
          </w:divBdr>
          <w:divsChild>
            <w:div w:id="408116183">
              <w:marLeft w:val="0"/>
              <w:marRight w:val="0"/>
              <w:marTop w:val="0"/>
              <w:marBottom w:val="0"/>
              <w:divBdr>
                <w:top w:val="none" w:sz="0" w:space="0" w:color="auto"/>
                <w:left w:val="none" w:sz="0" w:space="0" w:color="auto"/>
                <w:bottom w:val="none" w:sz="0" w:space="0" w:color="auto"/>
                <w:right w:val="none" w:sz="0" w:space="0" w:color="auto"/>
              </w:divBdr>
              <w:divsChild>
                <w:div w:id="1767773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576439">
          <w:marLeft w:val="0"/>
          <w:marRight w:val="0"/>
          <w:marTop w:val="0"/>
          <w:marBottom w:val="0"/>
          <w:divBdr>
            <w:top w:val="none" w:sz="0" w:space="0" w:color="auto"/>
            <w:left w:val="none" w:sz="0" w:space="0" w:color="auto"/>
            <w:bottom w:val="none" w:sz="0" w:space="0" w:color="auto"/>
            <w:right w:val="none" w:sz="0" w:space="0" w:color="auto"/>
          </w:divBdr>
        </w:div>
        <w:div w:id="862940282">
          <w:marLeft w:val="0"/>
          <w:marRight w:val="0"/>
          <w:marTop w:val="0"/>
          <w:marBottom w:val="0"/>
          <w:divBdr>
            <w:top w:val="none" w:sz="0" w:space="0" w:color="auto"/>
            <w:left w:val="none" w:sz="0" w:space="0" w:color="auto"/>
            <w:bottom w:val="none" w:sz="0" w:space="0" w:color="auto"/>
            <w:right w:val="none" w:sz="0" w:space="0" w:color="auto"/>
          </w:divBdr>
          <w:divsChild>
            <w:div w:id="850754957">
              <w:marLeft w:val="0"/>
              <w:marRight w:val="0"/>
              <w:marTop w:val="0"/>
              <w:marBottom w:val="0"/>
              <w:divBdr>
                <w:top w:val="none" w:sz="0" w:space="0" w:color="auto"/>
                <w:left w:val="none" w:sz="0" w:space="0" w:color="auto"/>
                <w:bottom w:val="none" w:sz="0" w:space="0" w:color="auto"/>
                <w:right w:val="none" w:sz="0" w:space="0" w:color="auto"/>
              </w:divBdr>
              <w:divsChild>
                <w:div w:id="40910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535820">
          <w:marLeft w:val="0"/>
          <w:marRight w:val="0"/>
          <w:marTop w:val="0"/>
          <w:marBottom w:val="0"/>
          <w:divBdr>
            <w:top w:val="none" w:sz="0" w:space="0" w:color="auto"/>
            <w:left w:val="none" w:sz="0" w:space="0" w:color="auto"/>
            <w:bottom w:val="none" w:sz="0" w:space="0" w:color="auto"/>
            <w:right w:val="none" w:sz="0" w:space="0" w:color="auto"/>
          </w:divBdr>
        </w:div>
        <w:div w:id="2129547143">
          <w:marLeft w:val="0"/>
          <w:marRight w:val="0"/>
          <w:marTop w:val="0"/>
          <w:marBottom w:val="0"/>
          <w:divBdr>
            <w:top w:val="none" w:sz="0" w:space="0" w:color="auto"/>
            <w:left w:val="none" w:sz="0" w:space="0" w:color="auto"/>
            <w:bottom w:val="none" w:sz="0" w:space="0" w:color="auto"/>
            <w:right w:val="none" w:sz="0" w:space="0" w:color="auto"/>
          </w:divBdr>
          <w:divsChild>
            <w:div w:id="1106774217">
              <w:marLeft w:val="0"/>
              <w:marRight w:val="0"/>
              <w:marTop w:val="0"/>
              <w:marBottom w:val="0"/>
              <w:divBdr>
                <w:top w:val="none" w:sz="0" w:space="0" w:color="auto"/>
                <w:left w:val="none" w:sz="0" w:space="0" w:color="auto"/>
                <w:bottom w:val="none" w:sz="0" w:space="0" w:color="auto"/>
                <w:right w:val="none" w:sz="0" w:space="0" w:color="auto"/>
              </w:divBdr>
              <w:divsChild>
                <w:div w:id="93089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98319">
          <w:marLeft w:val="0"/>
          <w:marRight w:val="0"/>
          <w:marTop w:val="0"/>
          <w:marBottom w:val="0"/>
          <w:divBdr>
            <w:top w:val="none" w:sz="0" w:space="0" w:color="auto"/>
            <w:left w:val="none" w:sz="0" w:space="0" w:color="auto"/>
            <w:bottom w:val="none" w:sz="0" w:space="0" w:color="auto"/>
            <w:right w:val="none" w:sz="0" w:space="0" w:color="auto"/>
          </w:divBdr>
        </w:div>
      </w:divsChild>
    </w:div>
    <w:div w:id="1232738015">
      <w:bodyDiv w:val="1"/>
      <w:marLeft w:val="0"/>
      <w:marRight w:val="0"/>
      <w:marTop w:val="0"/>
      <w:marBottom w:val="0"/>
      <w:divBdr>
        <w:top w:val="none" w:sz="0" w:space="0" w:color="auto"/>
        <w:left w:val="none" w:sz="0" w:space="0" w:color="auto"/>
        <w:bottom w:val="none" w:sz="0" w:space="0" w:color="auto"/>
        <w:right w:val="none" w:sz="0" w:space="0" w:color="auto"/>
      </w:divBdr>
      <w:divsChild>
        <w:div w:id="1424105827">
          <w:marLeft w:val="0"/>
          <w:marRight w:val="0"/>
          <w:marTop w:val="0"/>
          <w:marBottom w:val="0"/>
          <w:divBdr>
            <w:top w:val="none" w:sz="0" w:space="0" w:color="auto"/>
            <w:left w:val="none" w:sz="0" w:space="0" w:color="auto"/>
            <w:bottom w:val="none" w:sz="0" w:space="0" w:color="auto"/>
            <w:right w:val="none" w:sz="0" w:space="0" w:color="auto"/>
          </w:divBdr>
          <w:divsChild>
            <w:div w:id="18699162">
              <w:marLeft w:val="0"/>
              <w:marRight w:val="0"/>
              <w:marTop w:val="0"/>
              <w:marBottom w:val="0"/>
              <w:divBdr>
                <w:top w:val="none" w:sz="0" w:space="0" w:color="auto"/>
                <w:left w:val="none" w:sz="0" w:space="0" w:color="auto"/>
                <w:bottom w:val="none" w:sz="0" w:space="0" w:color="auto"/>
                <w:right w:val="none" w:sz="0" w:space="0" w:color="auto"/>
              </w:divBdr>
              <w:divsChild>
                <w:div w:id="1363823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405706">
          <w:marLeft w:val="0"/>
          <w:marRight w:val="0"/>
          <w:marTop w:val="0"/>
          <w:marBottom w:val="0"/>
          <w:divBdr>
            <w:top w:val="none" w:sz="0" w:space="0" w:color="auto"/>
            <w:left w:val="none" w:sz="0" w:space="0" w:color="auto"/>
            <w:bottom w:val="none" w:sz="0" w:space="0" w:color="auto"/>
            <w:right w:val="none" w:sz="0" w:space="0" w:color="auto"/>
          </w:divBdr>
        </w:div>
      </w:divsChild>
    </w:div>
    <w:div w:id="20319470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D76BA55E55A2814A8B180F877D60A6A0" ma:contentTypeVersion="4" ma:contentTypeDescription="Create a new document." ma:contentTypeScope="" ma:versionID="35e2fe963855346488ad5df03adde4ab">
  <xsd:schema xmlns:xsd="http://www.w3.org/2001/XMLSchema" xmlns:xs="http://www.w3.org/2001/XMLSchema" xmlns:p="http://schemas.microsoft.com/office/2006/metadata/properties" xmlns:ns2="7216f5d0-bb44-45fb-bef4-ccb4ce7e2fde" xmlns:ns3="1957c6a7-a752-4260-b29d-163108d21a45" targetNamespace="http://schemas.microsoft.com/office/2006/metadata/properties" ma:root="true" ma:fieldsID="2a8bb8741b98978dcf6bb901c6663d84" ns2:_="" ns3:_="">
    <xsd:import namespace="7216f5d0-bb44-45fb-bef4-ccb4ce7e2fde"/>
    <xsd:import namespace="1957c6a7-a752-4260-b29d-163108d21a4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16f5d0-bb44-45fb-bef4-ccb4ce7e2f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957c6a7-a752-4260-b29d-163108d21a4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AF859B-5856-4E13-B5BC-4BF10B9C09EF}">
  <ds:schemaRefs>
    <ds:schemaRef ds:uri="http://schemas.microsoft.com/sharepoint/v3/contenttype/forms"/>
  </ds:schemaRefs>
</ds:datastoreItem>
</file>

<file path=customXml/itemProps2.xml><?xml version="1.0" encoding="utf-8"?>
<ds:datastoreItem xmlns:ds="http://schemas.openxmlformats.org/officeDocument/2006/customXml" ds:itemID="{EE4DFD5E-8FFF-47FB-BCFE-EA418363EE29}">
  <ds:schemaRefs>
    <ds:schemaRef ds:uri="http://schemas.openxmlformats.org/officeDocument/2006/bibliography"/>
  </ds:schemaRefs>
</ds:datastoreItem>
</file>

<file path=customXml/itemProps3.xml><?xml version="1.0" encoding="utf-8"?>
<ds:datastoreItem xmlns:ds="http://schemas.openxmlformats.org/officeDocument/2006/customXml" ds:itemID="{3FC8EEBD-14D1-4966-9EDA-91393737C7B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93E7013E-566C-47A0-8B44-6726EDDEE8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16f5d0-bb44-45fb-bef4-ccb4ce7e2fde"/>
    <ds:schemaRef ds:uri="1957c6a7-a752-4260-b29d-163108d21a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11453</TotalTime>
  <Pages>9</Pages>
  <Words>3623</Words>
  <Characters>19944</Characters>
  <Application>Microsoft Office Word</Application>
  <DocSecurity>0</DocSecurity>
  <Lines>166</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D. Everaere</cp:lastModifiedBy>
  <cp:revision>663</cp:revision>
  <cp:lastPrinted>2019-04-25T01:09:00Z</cp:lastPrinted>
  <dcterms:created xsi:type="dcterms:W3CDTF">2023-10-29T15:19:00Z</dcterms:created>
  <dcterms:modified xsi:type="dcterms:W3CDTF">2024-02-19T15:24:00Z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KSOProductBuildVer">
    <vt:lpwstr>2052-11.8.2.9022</vt:lpwstr>
  </property>
  <property fmtid="{D5CDD505-2E9C-101B-9397-08002B2CF9AE}" pid="14" name="ContentTypeId">
    <vt:lpwstr>0x010100D76BA55E55A2814A8B180F877D60A6A0</vt:lpwstr>
  </property>
</Properties>
</file>